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EB" w:rsidRPr="00FC0604" w:rsidRDefault="00B23CEB" w:rsidP="00FC0604">
      <w:pPr>
        <w:pStyle w:val="2"/>
        <w:jc w:val="center"/>
        <w:rPr>
          <w:sz w:val="28"/>
          <w:szCs w:val="28"/>
        </w:rPr>
      </w:pPr>
      <w:r w:rsidRPr="00FC0604">
        <w:rPr>
          <w:sz w:val="28"/>
          <w:szCs w:val="28"/>
        </w:rPr>
        <w:t>国家税务总局关于垃圾处置费征收营业税问题的批复</w:t>
      </w:r>
    </w:p>
    <w:p w:rsidR="00B23CEB" w:rsidRPr="00B23CEB" w:rsidRDefault="00B23CEB" w:rsidP="00B23CEB">
      <w:pPr>
        <w:spacing w:after="0" w:line="360" w:lineRule="auto"/>
        <w:ind w:firstLineChars="200" w:firstLine="480"/>
        <w:jc w:val="center"/>
        <w:rPr>
          <w:rFonts w:asciiTheme="minorEastAsia" w:eastAsiaTheme="minorEastAsia" w:hAnsiTheme="minorEastAsia"/>
          <w:sz w:val="24"/>
          <w:szCs w:val="24"/>
        </w:rPr>
      </w:pPr>
      <w:r w:rsidRPr="00B23CEB">
        <w:rPr>
          <w:rFonts w:asciiTheme="minorEastAsia" w:eastAsiaTheme="minorEastAsia" w:hAnsiTheme="minorEastAsia"/>
          <w:sz w:val="24"/>
          <w:szCs w:val="24"/>
        </w:rPr>
        <w:t>国税函〔2005〕1128号</w:t>
      </w:r>
    </w:p>
    <w:p w:rsidR="00B23CEB" w:rsidRPr="00B23CEB" w:rsidRDefault="00B23CEB" w:rsidP="00B23CEB">
      <w:pPr>
        <w:spacing w:after="0" w:line="360" w:lineRule="auto"/>
        <w:ind w:firstLineChars="200" w:firstLine="480"/>
        <w:rPr>
          <w:rFonts w:asciiTheme="minorEastAsia" w:eastAsiaTheme="minorEastAsia" w:hAnsiTheme="minorEastAsia"/>
          <w:sz w:val="24"/>
          <w:szCs w:val="24"/>
        </w:rPr>
      </w:pP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广东省地方税务局：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你局《关于垃圾处置费征免营业税问题的请示》（粤地税发〔2005〕205号）收悉。批复如下：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根据《中华人民共和国营业税暂行条例》的规定，单位和个人提供的垃圾处置劳务不属于营业税应税劳务，对其处置垃圾取得的垃圾处置费，不征收营业税。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w:t>
      </w:r>
    </w:p>
    <w:p w:rsidR="00A116F2"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w:t>
      </w:r>
      <w:r w:rsidR="00930DC4">
        <w:rPr>
          <w:rFonts w:asciiTheme="minorEastAsia" w:eastAsiaTheme="minorEastAsia" w:hAnsiTheme="minorEastAsia"/>
          <w:sz w:val="24"/>
          <w:szCs w:val="24"/>
        </w:rPr>
        <w:t xml:space="preserve">                      </w:t>
      </w:r>
      <w:r w:rsidR="00B23CEB">
        <w:rPr>
          <w:rFonts w:asciiTheme="minorEastAsia" w:eastAsiaTheme="minorEastAsia" w:hAnsiTheme="minorEastAsia"/>
          <w:sz w:val="24"/>
          <w:szCs w:val="24"/>
        </w:rPr>
        <w:t xml:space="preserve"> </w:t>
      </w:r>
      <w:r w:rsidRPr="00B23CEB">
        <w:rPr>
          <w:rFonts w:asciiTheme="minorEastAsia" w:eastAsiaTheme="minorEastAsia" w:hAnsiTheme="minorEastAsia"/>
          <w:sz w:val="24"/>
          <w:szCs w:val="24"/>
        </w:rPr>
        <w:t>二</w:t>
      </w:r>
      <w:r w:rsidR="00930DC4" w:rsidRPr="00B23CEB">
        <w:rPr>
          <w:rFonts w:asciiTheme="minorEastAsia" w:eastAsiaTheme="minorEastAsia" w:hAnsiTheme="minorEastAsia" w:cs="Arial"/>
          <w:sz w:val="24"/>
          <w:szCs w:val="24"/>
        </w:rPr>
        <w:t>○○</w:t>
      </w:r>
      <w:r w:rsidRPr="00B23CEB">
        <w:rPr>
          <w:rFonts w:asciiTheme="minorEastAsia" w:eastAsiaTheme="minorEastAsia" w:hAnsiTheme="minorEastAsia"/>
          <w:sz w:val="24"/>
          <w:szCs w:val="24"/>
        </w:rPr>
        <w:t xml:space="preserve">五年十一月三十日 </w:t>
      </w:r>
    </w:p>
    <w:p w:rsidR="00930DC4" w:rsidRDefault="00930DC4" w:rsidP="00B23CEB">
      <w:pPr>
        <w:spacing w:after="0" w:line="360" w:lineRule="auto"/>
        <w:ind w:firstLineChars="200" w:firstLine="480"/>
        <w:rPr>
          <w:rFonts w:asciiTheme="minorEastAsia" w:eastAsiaTheme="minorEastAsia" w:hAnsiTheme="minorEastAsia"/>
          <w:sz w:val="24"/>
          <w:szCs w:val="24"/>
        </w:rPr>
      </w:pPr>
    </w:p>
    <w:p w:rsidR="00930DC4" w:rsidRDefault="00930DC4"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930DC4" w:rsidRPr="00B23CEB" w:rsidRDefault="00930DC4" w:rsidP="006701AC">
      <w:pPr>
        <w:spacing w:after="0" w:line="360" w:lineRule="auto"/>
        <w:rPr>
          <w:rFonts w:asciiTheme="minorEastAsia" w:eastAsiaTheme="minorEastAsia" w:hAnsiTheme="minorEastAsia"/>
          <w:sz w:val="24"/>
          <w:szCs w:val="24"/>
        </w:rPr>
      </w:pPr>
    </w:p>
    <w:p w:rsidR="00A116F2" w:rsidRPr="00B23CEB" w:rsidRDefault="00A116F2" w:rsidP="00FC0604">
      <w:pPr>
        <w:pStyle w:val="2"/>
        <w:jc w:val="center"/>
        <w:rPr>
          <w:rFonts w:asciiTheme="minorEastAsia" w:eastAsiaTheme="minorEastAsia" w:hAnsiTheme="minorEastAsia"/>
          <w:b w:val="0"/>
          <w:sz w:val="28"/>
          <w:szCs w:val="28"/>
        </w:rPr>
      </w:pPr>
      <w:r w:rsidRPr="00B23CEB">
        <w:rPr>
          <w:rFonts w:asciiTheme="minorEastAsia" w:eastAsiaTheme="minorEastAsia" w:hAnsiTheme="minorEastAsia"/>
          <w:sz w:val="28"/>
          <w:szCs w:val="28"/>
        </w:rPr>
        <w:lastRenderedPageBreak/>
        <w:t>财政部 国家税务总局关于合格境外机构投资者营业税政策的通知</w:t>
      </w:r>
    </w:p>
    <w:p w:rsidR="00A116F2" w:rsidRPr="00B23CEB" w:rsidRDefault="00A116F2" w:rsidP="00B23CEB">
      <w:pPr>
        <w:spacing w:after="0" w:line="360" w:lineRule="auto"/>
        <w:jc w:val="center"/>
        <w:rPr>
          <w:rFonts w:asciiTheme="minorEastAsia" w:eastAsiaTheme="minorEastAsia" w:hAnsiTheme="minorEastAsia"/>
          <w:sz w:val="24"/>
          <w:szCs w:val="24"/>
        </w:rPr>
      </w:pPr>
      <w:r w:rsidRPr="00B23CEB">
        <w:rPr>
          <w:rFonts w:asciiTheme="minorEastAsia" w:eastAsiaTheme="minorEastAsia" w:hAnsiTheme="minorEastAsia"/>
          <w:sz w:val="24"/>
          <w:szCs w:val="24"/>
        </w:rPr>
        <w:t>财税〔2005〕155号</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各省、自治区、直辖市、计划单列市财政厅(局)、地方税务局，新疆生产建设兵团财务局：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经国务院批准，现将合格境外机构投资者(以下简称QFII)有关营业税政策通知如下： </w:t>
      </w:r>
    </w:p>
    <w:p w:rsidR="00A116F2" w:rsidRPr="00B23CEB" w:rsidRDefault="00A116F2" w:rsidP="00930DC4">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对QFII委托境内公司在我国从事证券买卖业务取得的差价收入，免征营业税。 请遵照执行。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w:t>
      </w:r>
    </w:p>
    <w:p w:rsidR="00A116F2" w:rsidRPr="00B23CEB" w:rsidRDefault="00A116F2" w:rsidP="00B23CEB">
      <w:pPr>
        <w:spacing w:after="0" w:line="360" w:lineRule="auto"/>
        <w:ind w:firstLineChars="200" w:firstLine="480"/>
        <w:jc w:val="right"/>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二</w:t>
      </w:r>
      <w:r w:rsidRPr="00B23CEB">
        <w:rPr>
          <w:rFonts w:asciiTheme="minorEastAsia" w:eastAsiaTheme="minorEastAsia" w:hAnsiTheme="minorEastAsia" w:cs="Arial"/>
          <w:sz w:val="24"/>
          <w:szCs w:val="24"/>
        </w:rPr>
        <w:t>○○</w:t>
      </w:r>
      <w:r w:rsidRPr="00B23CEB">
        <w:rPr>
          <w:rFonts w:asciiTheme="minorEastAsia" w:eastAsiaTheme="minorEastAsia" w:hAnsiTheme="minorEastAsia"/>
          <w:sz w:val="24"/>
          <w:szCs w:val="24"/>
        </w:rPr>
        <w:t xml:space="preserve">五年十二月一日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p>
    <w:p w:rsidR="00A116F2" w:rsidRPr="00930DC4" w:rsidRDefault="00A116F2" w:rsidP="00FC0604">
      <w:pPr>
        <w:pStyle w:val="2"/>
        <w:jc w:val="center"/>
        <w:rPr>
          <w:rFonts w:asciiTheme="minorEastAsia" w:eastAsiaTheme="minorEastAsia" w:hAnsiTheme="minorEastAsia"/>
          <w:b w:val="0"/>
          <w:sz w:val="28"/>
          <w:szCs w:val="28"/>
        </w:rPr>
      </w:pPr>
      <w:r w:rsidRPr="00B23CEB">
        <w:rPr>
          <w:rFonts w:asciiTheme="minorEastAsia" w:eastAsiaTheme="minorEastAsia" w:hAnsiTheme="minorEastAsia"/>
          <w:sz w:val="24"/>
          <w:szCs w:val="24"/>
        </w:rPr>
        <w:cr/>
      </w:r>
      <w:r w:rsidRPr="00B23CEB">
        <w:rPr>
          <w:rFonts w:asciiTheme="minorEastAsia" w:eastAsiaTheme="minorEastAsia" w:hAnsiTheme="minorEastAsia"/>
          <w:sz w:val="24"/>
          <w:szCs w:val="24"/>
        </w:rPr>
        <w:br w:type="page"/>
      </w:r>
      <w:r w:rsidRPr="00930DC4">
        <w:rPr>
          <w:rFonts w:asciiTheme="minorEastAsia" w:eastAsiaTheme="minorEastAsia" w:hAnsiTheme="minorEastAsia"/>
          <w:sz w:val="28"/>
          <w:szCs w:val="28"/>
        </w:rPr>
        <w:lastRenderedPageBreak/>
        <w:t>浙江省地方税务局关于连锁</w:t>
      </w:r>
      <w:r w:rsidRPr="00FC0604">
        <w:rPr>
          <w:sz w:val="28"/>
          <w:szCs w:val="28"/>
        </w:rPr>
        <w:t>经营</w:t>
      </w:r>
      <w:r w:rsidRPr="00930DC4">
        <w:rPr>
          <w:rFonts w:asciiTheme="minorEastAsia" w:eastAsiaTheme="minorEastAsia" w:hAnsiTheme="minorEastAsia"/>
          <w:sz w:val="28"/>
          <w:szCs w:val="28"/>
        </w:rPr>
        <w:t xml:space="preserve">企业统一缴纳企业所得税有关问题的通知 </w:t>
      </w:r>
    </w:p>
    <w:p w:rsidR="00A116F2" w:rsidRPr="00B23CEB" w:rsidRDefault="00A116F2" w:rsidP="00930DC4">
      <w:pPr>
        <w:spacing w:after="0" w:line="360" w:lineRule="auto"/>
        <w:jc w:val="center"/>
        <w:rPr>
          <w:rFonts w:asciiTheme="minorEastAsia" w:eastAsiaTheme="minorEastAsia" w:hAnsiTheme="minorEastAsia"/>
          <w:sz w:val="24"/>
          <w:szCs w:val="24"/>
        </w:rPr>
      </w:pPr>
      <w:r w:rsidRPr="00B23CEB">
        <w:rPr>
          <w:rFonts w:asciiTheme="minorEastAsia" w:eastAsiaTheme="minorEastAsia" w:hAnsiTheme="minorEastAsia"/>
          <w:sz w:val="24"/>
          <w:szCs w:val="24"/>
        </w:rPr>
        <w:t>浙地税函〔2005〕536号</w:t>
      </w:r>
    </w:p>
    <w:p w:rsidR="00A116F2" w:rsidRPr="00B23CEB" w:rsidRDefault="00A116F2" w:rsidP="00930DC4">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各市、县(市、区)地方税务局 (不发宁波)，省地方税务局直属一分局、直属二分局、稽查局： </w:t>
      </w:r>
    </w:p>
    <w:p w:rsidR="00A116F2" w:rsidRPr="00B23CEB" w:rsidRDefault="00A116F2" w:rsidP="00930DC4">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为切实贯彻落实好《国务院办公厅转发国务院体改办、国家经贸委关于促进连锁经营发展若干意见的通知》（国办发〔2002〕49号）和《财政部 国家税务总局关于连锁经营企业有关税收问题的通知》（财税〔2003〕1号）精神，支持和推动我省连锁经营发展，现根据</w:t>
      </w:r>
      <w:r w:rsidR="00930DC4">
        <w:rPr>
          <w:rFonts w:asciiTheme="minorEastAsia" w:eastAsiaTheme="minorEastAsia" w:hAnsiTheme="minorEastAsia"/>
          <w:sz w:val="24"/>
          <w:szCs w:val="24"/>
        </w:rPr>
        <w:t>我省实际情况，就连锁经营企业实行统一缴纳企业所得税的有关</w:t>
      </w:r>
      <w:r w:rsidR="00930DC4">
        <w:rPr>
          <w:rFonts w:asciiTheme="minorEastAsia" w:eastAsiaTheme="minorEastAsia" w:hAnsiTheme="minorEastAsia" w:hint="eastAsia"/>
          <w:sz w:val="24"/>
          <w:szCs w:val="24"/>
        </w:rPr>
        <w:t>问题</w:t>
      </w:r>
      <w:r w:rsidRPr="00B23CEB">
        <w:rPr>
          <w:rFonts w:asciiTheme="minorEastAsia" w:eastAsiaTheme="minorEastAsia" w:hAnsiTheme="minorEastAsia"/>
          <w:sz w:val="24"/>
          <w:szCs w:val="24"/>
        </w:rPr>
        <w:t xml:space="preserve">进一步明确如下: </w:t>
      </w:r>
    </w:p>
    <w:p w:rsidR="00A116F2" w:rsidRPr="00B23CEB" w:rsidRDefault="00A116F2" w:rsidP="00930DC4">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一、内资连锁企业省内跨市（不含宁波市）、跨县(市）以及县（市）内设立的直营门店, 凡在总部领导下统一经营、与总部微机联网，并由总部实行统一采购配送、统一核算、统一规范化管理，并且不设银行结算账户、不编制财务报表</w:t>
      </w:r>
      <w:proofErr w:type="gramStart"/>
      <w:r w:rsidRPr="00B23CEB">
        <w:rPr>
          <w:rFonts w:asciiTheme="minorEastAsia" w:eastAsiaTheme="minorEastAsia" w:hAnsiTheme="minorEastAsia"/>
          <w:sz w:val="24"/>
          <w:szCs w:val="24"/>
        </w:rPr>
        <w:t>和账薄</w:t>
      </w:r>
      <w:proofErr w:type="gramEnd"/>
      <w:r w:rsidRPr="00B23CEB">
        <w:rPr>
          <w:rFonts w:asciiTheme="minorEastAsia" w:eastAsiaTheme="minorEastAsia" w:hAnsiTheme="minorEastAsia"/>
          <w:sz w:val="24"/>
          <w:szCs w:val="24"/>
        </w:rPr>
        <w:t xml:space="preserve">的，可由总部提供符合条件的相关材料，分别由省级、市级、县级税务机关核实，并发文通知相关主管税务机关执行。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二、总部提供符合条件的相关材料包括：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（一）总部和汇总纳税直营门店名单 </w:t>
      </w:r>
    </w:p>
    <w:p w:rsidR="00A116F2" w:rsidRPr="00B23CEB" w:rsidRDefault="00A116F2" w:rsidP="00930DC4">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（二）总部和汇总纳税直营门店跨市、县（市）经营的，应提供营业执照副本（复印件）、税务登记证副本（复印件）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（三）总部章程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（四）上年的总部资产负债表和损益表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（五）财务核算管理办法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（六）连锁龙头企业应</w:t>
      </w:r>
      <w:proofErr w:type="gramStart"/>
      <w:r w:rsidRPr="00B23CEB">
        <w:rPr>
          <w:rFonts w:asciiTheme="minorEastAsia" w:eastAsiaTheme="minorEastAsia" w:hAnsiTheme="minorEastAsia"/>
          <w:sz w:val="24"/>
          <w:szCs w:val="24"/>
        </w:rPr>
        <w:t>提供省</w:t>
      </w:r>
      <w:proofErr w:type="gramEnd"/>
      <w:r w:rsidRPr="00B23CEB">
        <w:rPr>
          <w:rFonts w:asciiTheme="minorEastAsia" w:eastAsiaTheme="minorEastAsia" w:hAnsiTheme="minorEastAsia"/>
          <w:sz w:val="24"/>
          <w:szCs w:val="24"/>
        </w:rPr>
        <w:t xml:space="preserve">经贸委认定证明 </w:t>
      </w:r>
    </w:p>
    <w:p w:rsidR="00A116F2" w:rsidRPr="00B23CEB" w:rsidRDefault="00A116F2" w:rsidP="00930DC4">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（七）税务机关要求报送的其它材料 </w:t>
      </w:r>
    </w:p>
    <w:p w:rsidR="00A116F2" w:rsidRPr="00B23CEB" w:rsidRDefault="00A116F2" w:rsidP="00930DC4">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三、总部统一向主管税务机关申报缴纳企业所得税时，必须注明汇总缴纳企业所得税成员单位名单。 </w:t>
      </w:r>
    </w:p>
    <w:p w:rsidR="00A116F2" w:rsidRPr="00B23CEB" w:rsidRDefault="00A116F2" w:rsidP="00930DC4">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四、连锁经营企业实行统一纳税后，所属地区间财政利益分配按《关于省内跨区域连锁经营 统一核算企业税费有关预算管理问题的通知》（</w:t>
      </w:r>
      <w:proofErr w:type="gramStart"/>
      <w:r w:rsidRPr="00B23CEB">
        <w:rPr>
          <w:rFonts w:asciiTheme="minorEastAsia" w:eastAsiaTheme="minorEastAsia" w:hAnsiTheme="minorEastAsia"/>
          <w:sz w:val="24"/>
          <w:szCs w:val="24"/>
        </w:rPr>
        <w:t>浙财预</w:t>
      </w:r>
      <w:proofErr w:type="gramEnd"/>
      <w:r w:rsidRPr="00B23CEB">
        <w:rPr>
          <w:rFonts w:asciiTheme="minorEastAsia" w:eastAsiaTheme="minorEastAsia" w:hAnsiTheme="minorEastAsia"/>
          <w:sz w:val="24"/>
          <w:szCs w:val="24"/>
        </w:rPr>
        <w:t xml:space="preserve">字〔2005〕28号）执行。 </w:t>
      </w:r>
    </w:p>
    <w:p w:rsidR="00930DC4" w:rsidRDefault="00A116F2" w:rsidP="006701AC">
      <w:pPr>
        <w:spacing w:after="0" w:line="360" w:lineRule="auto"/>
        <w:ind w:firstLineChars="200" w:firstLine="480"/>
        <w:jc w:val="right"/>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二</w:t>
      </w:r>
      <w:r w:rsidRPr="00B23CEB">
        <w:rPr>
          <w:rFonts w:asciiTheme="minorEastAsia" w:eastAsiaTheme="minorEastAsia" w:hAnsiTheme="minorEastAsia" w:cs="Arial"/>
          <w:sz w:val="24"/>
          <w:szCs w:val="24"/>
        </w:rPr>
        <w:t>○○</w:t>
      </w:r>
      <w:r w:rsidRPr="00B23CEB">
        <w:rPr>
          <w:rFonts w:asciiTheme="minorEastAsia" w:eastAsiaTheme="minorEastAsia" w:hAnsiTheme="minorEastAsia"/>
          <w:sz w:val="24"/>
          <w:szCs w:val="24"/>
        </w:rPr>
        <w:t xml:space="preserve">五年十二月十六日 </w:t>
      </w:r>
    </w:p>
    <w:p w:rsidR="00A116F2" w:rsidRPr="00930DC4" w:rsidRDefault="00A116F2" w:rsidP="00FC0604">
      <w:pPr>
        <w:pStyle w:val="2"/>
        <w:jc w:val="center"/>
        <w:rPr>
          <w:rFonts w:asciiTheme="minorEastAsia" w:eastAsiaTheme="minorEastAsia" w:hAnsiTheme="minorEastAsia"/>
          <w:b w:val="0"/>
          <w:sz w:val="28"/>
          <w:szCs w:val="28"/>
        </w:rPr>
      </w:pPr>
      <w:r w:rsidRPr="00930DC4">
        <w:rPr>
          <w:rFonts w:asciiTheme="minorEastAsia" w:eastAsiaTheme="minorEastAsia" w:hAnsiTheme="minorEastAsia"/>
          <w:sz w:val="28"/>
          <w:szCs w:val="28"/>
        </w:rPr>
        <w:lastRenderedPageBreak/>
        <w:t>关于调整杭州市区个体工商户</w:t>
      </w:r>
      <w:proofErr w:type="gramStart"/>
      <w:r w:rsidRPr="00930DC4">
        <w:rPr>
          <w:rFonts w:asciiTheme="minorEastAsia" w:eastAsiaTheme="minorEastAsia" w:hAnsiTheme="minorEastAsia"/>
          <w:sz w:val="28"/>
          <w:szCs w:val="28"/>
        </w:rPr>
        <w:t>个人所得税带征</w:t>
      </w:r>
      <w:proofErr w:type="gramEnd"/>
      <w:r w:rsidRPr="00930DC4">
        <w:rPr>
          <w:rFonts w:asciiTheme="minorEastAsia" w:eastAsiaTheme="minorEastAsia" w:hAnsiTheme="minorEastAsia"/>
          <w:sz w:val="28"/>
          <w:szCs w:val="28"/>
        </w:rPr>
        <w:t>率的通知</w:t>
      </w:r>
    </w:p>
    <w:p w:rsidR="00A116F2" w:rsidRPr="00B23CEB" w:rsidRDefault="00A116F2" w:rsidP="00930DC4">
      <w:pPr>
        <w:spacing w:after="0" w:line="360" w:lineRule="auto"/>
        <w:jc w:val="center"/>
        <w:rPr>
          <w:rFonts w:asciiTheme="minorEastAsia" w:eastAsiaTheme="minorEastAsia" w:hAnsiTheme="minorEastAsia"/>
          <w:sz w:val="24"/>
          <w:szCs w:val="24"/>
        </w:rPr>
      </w:pPr>
      <w:r w:rsidRPr="00B23CEB">
        <w:rPr>
          <w:rFonts w:asciiTheme="minorEastAsia" w:eastAsiaTheme="minorEastAsia" w:hAnsiTheme="minorEastAsia"/>
          <w:sz w:val="24"/>
          <w:szCs w:val="24"/>
        </w:rPr>
        <w:t>杭地税征〔2005〕212号</w:t>
      </w:r>
    </w:p>
    <w:p w:rsidR="00A116F2" w:rsidRPr="00B23CEB" w:rsidRDefault="00A116F2" w:rsidP="00930DC4">
      <w:pPr>
        <w:spacing w:after="0" w:line="360" w:lineRule="auto"/>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各税务分局： </w:t>
      </w:r>
    </w:p>
    <w:p w:rsidR="00A116F2" w:rsidRPr="00B23CEB" w:rsidRDefault="00A116F2" w:rsidP="00930DC4">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为加强杭州市区个体工商户的税收征管，公平税负，合理负担。市局在调查分析、综合测算的基础，重新确定了杭州市区个体工商户</w:t>
      </w:r>
      <w:proofErr w:type="gramStart"/>
      <w:r w:rsidRPr="00B23CEB">
        <w:rPr>
          <w:rFonts w:asciiTheme="minorEastAsia" w:eastAsiaTheme="minorEastAsia" w:hAnsiTheme="minorEastAsia"/>
          <w:sz w:val="24"/>
          <w:szCs w:val="24"/>
        </w:rPr>
        <w:t>个人所得税带征</w:t>
      </w:r>
      <w:proofErr w:type="gramEnd"/>
      <w:r w:rsidRPr="00B23CEB">
        <w:rPr>
          <w:rFonts w:asciiTheme="minorEastAsia" w:eastAsiaTheme="minorEastAsia" w:hAnsiTheme="minorEastAsia"/>
          <w:sz w:val="24"/>
          <w:szCs w:val="24"/>
        </w:rPr>
        <w:t>率（见附件），请遵照执行。 鉴于营业税起征点以下个体工商户已免征营业税，其总体税负有较大下降，所以其</w:t>
      </w:r>
      <w:proofErr w:type="gramStart"/>
      <w:r w:rsidRPr="00B23CEB">
        <w:rPr>
          <w:rFonts w:asciiTheme="minorEastAsia" w:eastAsiaTheme="minorEastAsia" w:hAnsiTheme="minorEastAsia"/>
          <w:sz w:val="24"/>
          <w:szCs w:val="24"/>
        </w:rPr>
        <w:t>个人所得税带征</w:t>
      </w:r>
      <w:proofErr w:type="gramEnd"/>
      <w:r w:rsidRPr="00B23CEB">
        <w:rPr>
          <w:rFonts w:asciiTheme="minorEastAsia" w:eastAsiaTheme="minorEastAsia" w:hAnsiTheme="minorEastAsia"/>
          <w:sz w:val="24"/>
          <w:szCs w:val="24"/>
        </w:rPr>
        <w:t>率暂不调整。对营业税起征点以上的个体工商户，经过合理测算，进行适当调整。 集贸市场个体工商户</w:t>
      </w:r>
      <w:proofErr w:type="gramStart"/>
      <w:r w:rsidRPr="00B23CEB">
        <w:rPr>
          <w:rFonts w:asciiTheme="minorEastAsia" w:eastAsiaTheme="minorEastAsia" w:hAnsiTheme="minorEastAsia"/>
          <w:sz w:val="24"/>
          <w:szCs w:val="24"/>
        </w:rPr>
        <w:t>个人所得税带征</w:t>
      </w:r>
      <w:proofErr w:type="gramEnd"/>
      <w:r w:rsidRPr="00B23CEB">
        <w:rPr>
          <w:rFonts w:asciiTheme="minorEastAsia" w:eastAsiaTheme="minorEastAsia" w:hAnsiTheme="minorEastAsia"/>
          <w:sz w:val="24"/>
          <w:szCs w:val="24"/>
        </w:rPr>
        <w:t>率，</w:t>
      </w:r>
      <w:proofErr w:type="gramStart"/>
      <w:r w:rsidRPr="00B23CEB">
        <w:rPr>
          <w:rFonts w:asciiTheme="minorEastAsia" w:eastAsiaTheme="minorEastAsia" w:hAnsiTheme="minorEastAsia"/>
          <w:sz w:val="24"/>
          <w:szCs w:val="24"/>
        </w:rPr>
        <w:t>仍按杭地税</w:t>
      </w:r>
      <w:proofErr w:type="gramEnd"/>
      <w:r w:rsidRPr="00B23CEB">
        <w:rPr>
          <w:rFonts w:asciiTheme="minorEastAsia" w:eastAsiaTheme="minorEastAsia" w:hAnsiTheme="minorEastAsia"/>
          <w:sz w:val="24"/>
          <w:szCs w:val="24"/>
        </w:rPr>
        <w:t xml:space="preserve">征〔2002〕年185号文件规定执行。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本通知自2006年1月1日起执行。 </w:t>
      </w:r>
    </w:p>
    <w:p w:rsidR="00A116F2" w:rsidRDefault="00A116F2" w:rsidP="00B23CEB">
      <w:pPr>
        <w:spacing w:after="0" w:line="360" w:lineRule="auto"/>
        <w:ind w:firstLineChars="200" w:firstLine="480"/>
        <w:rPr>
          <w:rFonts w:asciiTheme="minorEastAsia" w:eastAsiaTheme="minorEastAsia" w:hAnsiTheme="minorEastAsia"/>
          <w:sz w:val="24"/>
          <w:szCs w:val="24"/>
        </w:rPr>
      </w:pPr>
      <w:proofErr w:type="gramStart"/>
      <w:r w:rsidRPr="00B23CEB">
        <w:rPr>
          <w:rFonts w:asciiTheme="minorEastAsia" w:eastAsiaTheme="minorEastAsia" w:hAnsiTheme="minorEastAsia"/>
          <w:sz w:val="24"/>
          <w:szCs w:val="24"/>
        </w:rPr>
        <w:t>本执行</w:t>
      </w:r>
      <w:proofErr w:type="gramEnd"/>
      <w:r w:rsidRPr="00B23CEB">
        <w:rPr>
          <w:rFonts w:asciiTheme="minorEastAsia" w:eastAsiaTheme="minorEastAsia" w:hAnsiTheme="minorEastAsia"/>
          <w:sz w:val="24"/>
          <w:szCs w:val="24"/>
        </w:rPr>
        <w:t xml:space="preserve">过程中发现问题，请及时向市局反映。 </w:t>
      </w:r>
    </w:p>
    <w:p w:rsidR="00743FAD" w:rsidRPr="00B23CEB" w:rsidRDefault="00743FAD" w:rsidP="00B23CEB">
      <w:pPr>
        <w:spacing w:after="0" w:line="360" w:lineRule="auto"/>
        <w:ind w:firstLineChars="200" w:firstLine="480"/>
        <w:rPr>
          <w:rFonts w:asciiTheme="minorEastAsia" w:eastAsiaTheme="minorEastAsia" w:hAnsiTheme="minorEastAsia"/>
          <w:sz w:val="24"/>
          <w:szCs w:val="24"/>
        </w:rPr>
      </w:pP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p>
    <w:p w:rsidR="00A116F2" w:rsidRDefault="00A116F2" w:rsidP="00743FAD">
      <w:pPr>
        <w:spacing w:after="0" w:line="360" w:lineRule="auto"/>
        <w:ind w:firstLineChars="200" w:firstLine="480"/>
        <w:jc w:val="right"/>
        <w:rPr>
          <w:rFonts w:asciiTheme="minorEastAsia" w:eastAsiaTheme="minorEastAsia" w:hAnsiTheme="minorEastAsia"/>
          <w:sz w:val="24"/>
          <w:szCs w:val="24"/>
        </w:rPr>
      </w:pPr>
      <w:r w:rsidRPr="00B23CEB">
        <w:rPr>
          <w:rFonts w:asciiTheme="minorEastAsia" w:eastAsiaTheme="minorEastAsia" w:hAnsiTheme="minorEastAsia"/>
          <w:sz w:val="24"/>
          <w:szCs w:val="24"/>
        </w:rPr>
        <w:t>二</w:t>
      </w:r>
      <w:r w:rsidRPr="00B23CEB">
        <w:rPr>
          <w:rFonts w:asciiTheme="minorEastAsia" w:eastAsiaTheme="minorEastAsia" w:hAnsiTheme="minorEastAsia" w:cs="Arial"/>
          <w:sz w:val="24"/>
          <w:szCs w:val="24"/>
        </w:rPr>
        <w:t>○○</w:t>
      </w:r>
      <w:r w:rsidRPr="00B23CEB">
        <w:rPr>
          <w:rFonts w:asciiTheme="minorEastAsia" w:eastAsiaTheme="minorEastAsia" w:hAnsiTheme="minorEastAsia"/>
          <w:sz w:val="24"/>
          <w:szCs w:val="24"/>
        </w:rPr>
        <w:t xml:space="preserve">五年十二月十六日 </w:t>
      </w:r>
    </w:p>
    <w:p w:rsidR="00743FAD" w:rsidRDefault="00743FAD" w:rsidP="00743FAD">
      <w:pPr>
        <w:spacing w:after="0" w:line="360" w:lineRule="auto"/>
        <w:ind w:firstLineChars="200" w:firstLine="480"/>
        <w:rPr>
          <w:rFonts w:asciiTheme="minorEastAsia" w:eastAsiaTheme="minorEastAsia" w:hAnsiTheme="minorEastAsia"/>
          <w:sz w:val="24"/>
          <w:szCs w:val="24"/>
        </w:rPr>
      </w:pPr>
    </w:p>
    <w:p w:rsidR="00743FAD" w:rsidRDefault="00743FAD" w:rsidP="00743FAD">
      <w:pPr>
        <w:spacing w:after="0" w:line="360" w:lineRule="auto"/>
        <w:ind w:firstLineChars="200" w:firstLine="480"/>
        <w:rPr>
          <w:rFonts w:asciiTheme="minorEastAsia" w:eastAsiaTheme="minorEastAsia" w:hAnsiTheme="minorEastAsia"/>
          <w:sz w:val="24"/>
          <w:szCs w:val="24"/>
        </w:rPr>
      </w:pPr>
    </w:p>
    <w:p w:rsidR="00743FAD" w:rsidRDefault="00743FAD" w:rsidP="00743FAD">
      <w:pPr>
        <w:spacing w:after="0" w:line="360" w:lineRule="auto"/>
        <w:ind w:firstLineChars="200" w:firstLine="480"/>
        <w:rPr>
          <w:rFonts w:asciiTheme="minorEastAsia" w:eastAsiaTheme="minorEastAsia" w:hAnsiTheme="minorEastAsia"/>
          <w:sz w:val="24"/>
          <w:szCs w:val="24"/>
        </w:rPr>
      </w:pPr>
    </w:p>
    <w:p w:rsidR="00743FAD" w:rsidRPr="00B23CEB" w:rsidRDefault="00743FAD" w:rsidP="00743FAD">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附件：</w:t>
      </w:r>
      <w:r w:rsidR="003527B0">
        <w:rPr>
          <w:rFonts w:asciiTheme="minorEastAsia" w:eastAsiaTheme="minorEastAsia" w:hAnsiTheme="minorEastAsia" w:hint="eastAsia"/>
          <w:sz w:val="24"/>
          <w:szCs w:val="24"/>
        </w:rPr>
        <w:t>《</w:t>
      </w:r>
      <w:r w:rsidRPr="00B23CEB">
        <w:rPr>
          <w:rFonts w:asciiTheme="minorEastAsia" w:eastAsiaTheme="minorEastAsia" w:hAnsiTheme="minorEastAsia"/>
          <w:sz w:val="24"/>
          <w:szCs w:val="24"/>
        </w:rPr>
        <w:t>杭州市区个体工商户个人所得税带征率核定表</w:t>
      </w:r>
      <w:r w:rsidR="003527B0">
        <w:rPr>
          <w:rFonts w:asciiTheme="minorEastAsia" w:eastAsiaTheme="minorEastAsia" w:hAnsiTheme="minorEastAsia" w:hint="eastAsia"/>
          <w:sz w:val="24"/>
          <w:szCs w:val="24"/>
        </w:rPr>
        <w:t>》</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p>
    <w:p w:rsidR="00743FAD" w:rsidRDefault="00A116F2" w:rsidP="00743FAD">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cr/>
      </w:r>
      <w:r w:rsidRPr="00B23CEB">
        <w:rPr>
          <w:rFonts w:asciiTheme="minorEastAsia" w:eastAsiaTheme="minorEastAsia" w:hAnsiTheme="minorEastAsia"/>
          <w:sz w:val="24"/>
          <w:szCs w:val="24"/>
        </w:rPr>
        <w:br w:type="page"/>
      </w:r>
      <w:r w:rsidRPr="00B23CEB">
        <w:rPr>
          <w:rFonts w:asciiTheme="minorEastAsia" w:eastAsiaTheme="minorEastAsia" w:hAnsiTheme="minorEastAsia"/>
          <w:sz w:val="24"/>
          <w:szCs w:val="24"/>
        </w:rPr>
        <w:lastRenderedPageBreak/>
        <w:t>附件：</w:t>
      </w:r>
    </w:p>
    <w:p w:rsidR="00743FAD" w:rsidRPr="00743FAD" w:rsidRDefault="00743FAD" w:rsidP="00743FAD">
      <w:pPr>
        <w:widowControl w:val="0"/>
        <w:autoSpaceDE w:val="0"/>
        <w:autoSpaceDN w:val="0"/>
        <w:spacing w:after="0" w:line="280" w:lineRule="exact"/>
        <w:jc w:val="center"/>
        <w:rPr>
          <w:rFonts w:asciiTheme="minorEastAsia" w:eastAsiaTheme="minorEastAsia" w:hAnsiTheme="minorEastAsia" w:cs="宋体"/>
          <w:b/>
          <w:color w:val="000000"/>
          <w:sz w:val="28"/>
        </w:rPr>
      </w:pPr>
      <w:r w:rsidRPr="00743FAD">
        <w:rPr>
          <w:rFonts w:asciiTheme="minorEastAsia" w:eastAsiaTheme="minorEastAsia" w:hAnsiTheme="minorEastAsia" w:cs="宋体"/>
          <w:b/>
          <w:color w:val="000000"/>
          <w:sz w:val="28"/>
        </w:rPr>
        <w:t>杭州市区个体工商户</w:t>
      </w:r>
      <w:proofErr w:type="gramStart"/>
      <w:r w:rsidRPr="00743FAD">
        <w:rPr>
          <w:rFonts w:asciiTheme="minorEastAsia" w:eastAsiaTheme="minorEastAsia" w:hAnsiTheme="minorEastAsia" w:cs="宋体"/>
          <w:b/>
          <w:color w:val="000000"/>
          <w:sz w:val="28"/>
        </w:rPr>
        <w:t>个人所得税带征</w:t>
      </w:r>
      <w:proofErr w:type="gramEnd"/>
      <w:r w:rsidRPr="00743FAD">
        <w:rPr>
          <w:rFonts w:asciiTheme="minorEastAsia" w:eastAsiaTheme="minorEastAsia" w:hAnsiTheme="minorEastAsia" w:cs="宋体"/>
          <w:b/>
          <w:color w:val="000000"/>
          <w:sz w:val="28"/>
        </w:rPr>
        <w:t>率核定表</w:t>
      </w:r>
    </w:p>
    <w:p w:rsidR="00743FAD" w:rsidRDefault="00A116F2" w:rsidP="00743FAD">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w:t>
      </w:r>
    </w:p>
    <w:tbl>
      <w:tblPr>
        <w:tblStyle w:val="ab"/>
        <w:tblW w:w="0" w:type="auto"/>
        <w:tblLook w:val="04A0" w:firstRow="1" w:lastRow="0" w:firstColumn="1" w:lastColumn="0" w:noHBand="0" w:noVBand="1"/>
      </w:tblPr>
      <w:tblGrid>
        <w:gridCol w:w="1548"/>
        <w:gridCol w:w="1548"/>
        <w:gridCol w:w="3096"/>
        <w:gridCol w:w="3096"/>
      </w:tblGrid>
      <w:tr w:rsidR="00C51434" w:rsidTr="003D67FE">
        <w:trPr>
          <w:trHeight w:val="624"/>
        </w:trPr>
        <w:tc>
          <w:tcPr>
            <w:tcW w:w="3096" w:type="dxa"/>
            <w:gridSpan w:val="2"/>
            <w:vAlign w:val="center"/>
          </w:tcPr>
          <w:p w:rsidR="00C51434" w:rsidRPr="00B61C92" w:rsidRDefault="00B61C92" w:rsidP="003D67FE">
            <w:pPr>
              <w:spacing w:line="360" w:lineRule="auto"/>
              <w:jc w:val="center"/>
              <w:rPr>
                <w:rFonts w:asciiTheme="minorEastAsia" w:eastAsiaTheme="minorEastAsia" w:hAnsiTheme="minorEastAsia"/>
                <w:sz w:val="24"/>
                <w:szCs w:val="24"/>
              </w:rPr>
            </w:pPr>
            <w:r w:rsidRPr="00B61C92">
              <w:rPr>
                <w:rFonts w:asciiTheme="minorEastAsia" w:eastAsiaTheme="minorEastAsia" w:hAnsiTheme="minorEastAsia" w:hint="eastAsia"/>
                <w:sz w:val="24"/>
                <w:szCs w:val="24"/>
              </w:rPr>
              <w:t>行业</w:t>
            </w:r>
          </w:p>
        </w:tc>
        <w:tc>
          <w:tcPr>
            <w:tcW w:w="3096" w:type="dxa"/>
            <w:vAlign w:val="center"/>
          </w:tcPr>
          <w:p w:rsidR="00C51434" w:rsidRPr="00B61C92" w:rsidRDefault="00B61C92" w:rsidP="003D67FE">
            <w:pPr>
              <w:widowControl w:val="0"/>
              <w:autoSpaceDE w:val="0"/>
              <w:autoSpaceDN w:val="0"/>
              <w:spacing w:line="280" w:lineRule="exact"/>
              <w:jc w:val="center"/>
              <w:rPr>
                <w:rFonts w:asciiTheme="minorEastAsia" w:eastAsiaTheme="minorEastAsia" w:hAnsiTheme="minorEastAsia" w:cs="宋体"/>
                <w:color w:val="000000"/>
                <w:sz w:val="24"/>
                <w:szCs w:val="24"/>
              </w:rPr>
            </w:pPr>
            <w:r w:rsidRPr="00B61C92">
              <w:rPr>
                <w:rFonts w:asciiTheme="minorEastAsia" w:eastAsiaTheme="minorEastAsia" w:hAnsiTheme="minorEastAsia" w:cs="宋体"/>
                <w:color w:val="000000"/>
                <w:sz w:val="24"/>
                <w:szCs w:val="24"/>
              </w:rPr>
              <w:t>起征点以上带征率</w:t>
            </w:r>
          </w:p>
        </w:tc>
        <w:tc>
          <w:tcPr>
            <w:tcW w:w="3096" w:type="dxa"/>
            <w:vAlign w:val="center"/>
          </w:tcPr>
          <w:p w:rsidR="00C51434" w:rsidRDefault="00B61C92" w:rsidP="003D67FE">
            <w:pPr>
              <w:spacing w:line="360" w:lineRule="auto"/>
              <w:jc w:val="center"/>
              <w:rPr>
                <w:rFonts w:asciiTheme="minorEastAsia" w:eastAsiaTheme="minorEastAsia" w:hAnsiTheme="minorEastAsia"/>
                <w:sz w:val="24"/>
                <w:szCs w:val="24"/>
              </w:rPr>
            </w:pPr>
            <w:r w:rsidRPr="00B61C92">
              <w:rPr>
                <w:rFonts w:asciiTheme="minorEastAsia" w:eastAsiaTheme="minorEastAsia" w:hAnsiTheme="minorEastAsia" w:cs="宋体"/>
                <w:color w:val="000000"/>
                <w:sz w:val="24"/>
                <w:szCs w:val="24"/>
              </w:rPr>
              <w:t>起征点以</w:t>
            </w:r>
            <w:r>
              <w:rPr>
                <w:rFonts w:asciiTheme="minorEastAsia" w:eastAsiaTheme="minorEastAsia" w:hAnsiTheme="minorEastAsia" w:cs="宋体" w:hint="eastAsia"/>
                <w:color w:val="000000"/>
                <w:sz w:val="24"/>
                <w:szCs w:val="24"/>
              </w:rPr>
              <w:t>下</w:t>
            </w:r>
            <w:r w:rsidRPr="00B61C92">
              <w:rPr>
                <w:rFonts w:asciiTheme="minorEastAsia" w:eastAsiaTheme="minorEastAsia" w:hAnsiTheme="minorEastAsia" w:cs="宋体"/>
                <w:color w:val="000000"/>
                <w:sz w:val="24"/>
                <w:szCs w:val="24"/>
              </w:rPr>
              <w:t>带征率</w:t>
            </w:r>
          </w:p>
        </w:tc>
      </w:tr>
      <w:tr w:rsidR="00C51434" w:rsidTr="003D67FE">
        <w:trPr>
          <w:trHeight w:val="624"/>
        </w:trPr>
        <w:tc>
          <w:tcPr>
            <w:tcW w:w="3096" w:type="dxa"/>
            <w:gridSpan w:val="2"/>
            <w:vAlign w:val="center"/>
          </w:tcPr>
          <w:p w:rsidR="00C51434" w:rsidRDefault="00B61C92"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工业</w:t>
            </w:r>
          </w:p>
        </w:tc>
        <w:tc>
          <w:tcPr>
            <w:tcW w:w="3096" w:type="dxa"/>
            <w:vAlign w:val="center"/>
          </w:tcPr>
          <w:p w:rsidR="00C51434"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3096" w:type="dxa"/>
            <w:vAlign w:val="center"/>
          </w:tcPr>
          <w:p w:rsidR="00C51434"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C51434" w:rsidTr="003D67FE">
        <w:trPr>
          <w:trHeight w:val="624"/>
        </w:trPr>
        <w:tc>
          <w:tcPr>
            <w:tcW w:w="3096" w:type="dxa"/>
            <w:gridSpan w:val="2"/>
            <w:vAlign w:val="center"/>
          </w:tcPr>
          <w:p w:rsidR="00C51434"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加工、修理业</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3D67FE">
              <w:rPr>
                <w:rFonts w:asciiTheme="minorEastAsia" w:eastAsiaTheme="minorEastAsia" w:hAnsiTheme="minorEastAsia" w:hint="eastAsia"/>
                <w:sz w:val="24"/>
                <w:szCs w:val="24"/>
              </w:rPr>
              <w:t>%</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3D67FE">
              <w:rPr>
                <w:rFonts w:asciiTheme="minorEastAsia" w:eastAsiaTheme="minorEastAsia" w:hAnsiTheme="minorEastAsia" w:hint="eastAsia"/>
                <w:sz w:val="24"/>
                <w:szCs w:val="24"/>
              </w:rPr>
              <w:t>%</w:t>
            </w:r>
          </w:p>
        </w:tc>
      </w:tr>
      <w:tr w:rsidR="00C51434" w:rsidTr="003D67FE">
        <w:trPr>
          <w:trHeight w:val="624"/>
        </w:trPr>
        <w:tc>
          <w:tcPr>
            <w:tcW w:w="3096" w:type="dxa"/>
            <w:gridSpan w:val="2"/>
            <w:vAlign w:val="center"/>
          </w:tcPr>
          <w:p w:rsidR="00C51434"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商业</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r w:rsidR="003D67FE">
              <w:rPr>
                <w:rFonts w:asciiTheme="minorEastAsia" w:eastAsiaTheme="minorEastAsia" w:hAnsiTheme="minorEastAsia" w:hint="eastAsia"/>
                <w:sz w:val="24"/>
                <w:szCs w:val="24"/>
              </w:rPr>
              <w:t>%</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r w:rsidR="003D67FE">
              <w:rPr>
                <w:rFonts w:asciiTheme="minorEastAsia" w:eastAsiaTheme="minorEastAsia" w:hAnsiTheme="minorEastAsia" w:hint="eastAsia"/>
                <w:sz w:val="24"/>
                <w:szCs w:val="24"/>
              </w:rPr>
              <w:t>%</w:t>
            </w:r>
          </w:p>
        </w:tc>
      </w:tr>
      <w:tr w:rsidR="00C51434" w:rsidTr="003D67FE">
        <w:trPr>
          <w:trHeight w:val="624"/>
        </w:trPr>
        <w:tc>
          <w:tcPr>
            <w:tcW w:w="3096" w:type="dxa"/>
            <w:gridSpan w:val="2"/>
            <w:vAlign w:val="center"/>
          </w:tcPr>
          <w:p w:rsidR="00C51434"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建筑安装、装潢</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D67FE">
              <w:rPr>
                <w:rFonts w:asciiTheme="minorEastAsia" w:eastAsiaTheme="minorEastAsia" w:hAnsiTheme="minorEastAsia" w:hint="eastAsia"/>
                <w:sz w:val="24"/>
                <w:szCs w:val="24"/>
              </w:rPr>
              <w:t>%</w:t>
            </w:r>
          </w:p>
        </w:tc>
        <w:tc>
          <w:tcPr>
            <w:tcW w:w="3096" w:type="dxa"/>
            <w:vAlign w:val="center"/>
          </w:tcPr>
          <w:p w:rsidR="00C51434"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3D67FE" w:rsidTr="003D67FE">
        <w:trPr>
          <w:trHeight w:val="315"/>
        </w:trPr>
        <w:tc>
          <w:tcPr>
            <w:tcW w:w="1548" w:type="dxa"/>
            <w:vMerge w:val="restart"/>
            <w:vAlign w:val="center"/>
          </w:tcPr>
          <w:p w:rsidR="003D67FE"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交通运输</w:t>
            </w:r>
          </w:p>
        </w:tc>
        <w:tc>
          <w:tcPr>
            <w:tcW w:w="1548" w:type="dxa"/>
            <w:vAlign w:val="center"/>
          </w:tcPr>
          <w:p w:rsidR="003D67FE"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客运出租车</w:t>
            </w:r>
          </w:p>
        </w:tc>
        <w:tc>
          <w:tcPr>
            <w:tcW w:w="3096" w:type="dxa"/>
            <w:vAlign w:val="center"/>
          </w:tcPr>
          <w:p w:rsidR="003D67FE"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3D67FE">
              <w:rPr>
                <w:rFonts w:asciiTheme="minorEastAsia" w:eastAsiaTheme="minorEastAsia" w:hAnsiTheme="minorEastAsia" w:hint="eastAsia"/>
                <w:sz w:val="24"/>
                <w:szCs w:val="24"/>
              </w:rPr>
              <w:t>%</w:t>
            </w:r>
          </w:p>
        </w:tc>
        <w:tc>
          <w:tcPr>
            <w:tcW w:w="3096" w:type="dxa"/>
            <w:vAlign w:val="center"/>
          </w:tcPr>
          <w:p w:rsidR="003D67FE"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3D67FE">
              <w:rPr>
                <w:rFonts w:asciiTheme="minorEastAsia" w:eastAsiaTheme="minorEastAsia" w:hAnsiTheme="minorEastAsia" w:hint="eastAsia"/>
                <w:sz w:val="24"/>
                <w:szCs w:val="24"/>
              </w:rPr>
              <w:t>%</w:t>
            </w:r>
          </w:p>
        </w:tc>
      </w:tr>
      <w:tr w:rsidR="003D67FE" w:rsidTr="003D67FE">
        <w:trPr>
          <w:trHeight w:val="315"/>
        </w:trPr>
        <w:tc>
          <w:tcPr>
            <w:tcW w:w="1548" w:type="dxa"/>
            <w:vMerge/>
            <w:vAlign w:val="center"/>
          </w:tcPr>
          <w:p w:rsidR="003D67FE" w:rsidRDefault="003D67FE" w:rsidP="003D67FE">
            <w:pPr>
              <w:spacing w:line="360" w:lineRule="auto"/>
              <w:jc w:val="center"/>
              <w:rPr>
                <w:rFonts w:asciiTheme="minorEastAsia" w:eastAsiaTheme="minorEastAsia" w:hAnsiTheme="minorEastAsia"/>
                <w:sz w:val="24"/>
                <w:szCs w:val="24"/>
              </w:rPr>
            </w:pPr>
          </w:p>
        </w:tc>
        <w:tc>
          <w:tcPr>
            <w:tcW w:w="1548" w:type="dxa"/>
            <w:vAlign w:val="center"/>
          </w:tcPr>
          <w:p w:rsidR="003D67FE"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w:t>
            </w:r>
          </w:p>
        </w:tc>
        <w:tc>
          <w:tcPr>
            <w:tcW w:w="3096" w:type="dxa"/>
            <w:vAlign w:val="center"/>
          </w:tcPr>
          <w:p w:rsidR="003D67FE"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3096" w:type="dxa"/>
            <w:vAlign w:val="center"/>
          </w:tcPr>
          <w:p w:rsidR="003D67FE"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C51434" w:rsidTr="003D67FE">
        <w:trPr>
          <w:trHeight w:val="624"/>
        </w:trPr>
        <w:tc>
          <w:tcPr>
            <w:tcW w:w="3096" w:type="dxa"/>
            <w:gridSpan w:val="2"/>
            <w:vAlign w:val="center"/>
          </w:tcPr>
          <w:p w:rsidR="00C51434"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娱乐业</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r>
      <w:tr w:rsidR="00C51434" w:rsidTr="003D67FE">
        <w:trPr>
          <w:trHeight w:val="624"/>
        </w:trPr>
        <w:tc>
          <w:tcPr>
            <w:tcW w:w="3096" w:type="dxa"/>
            <w:gridSpan w:val="2"/>
            <w:vAlign w:val="center"/>
          </w:tcPr>
          <w:p w:rsidR="00C51434"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旅店业</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C51434" w:rsidTr="003D67FE">
        <w:trPr>
          <w:trHeight w:val="624"/>
        </w:trPr>
        <w:tc>
          <w:tcPr>
            <w:tcW w:w="3096" w:type="dxa"/>
            <w:gridSpan w:val="2"/>
            <w:vAlign w:val="center"/>
          </w:tcPr>
          <w:p w:rsidR="00C51434"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饮食业：点心</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C51434" w:rsidTr="003D67FE">
        <w:trPr>
          <w:trHeight w:val="624"/>
        </w:trPr>
        <w:tc>
          <w:tcPr>
            <w:tcW w:w="3096" w:type="dxa"/>
            <w:gridSpan w:val="2"/>
            <w:vAlign w:val="center"/>
          </w:tcPr>
          <w:p w:rsidR="00C51434"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酒菜面饭</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r>
      <w:tr w:rsidR="00C51434" w:rsidTr="003D67FE">
        <w:trPr>
          <w:trHeight w:val="624"/>
        </w:trPr>
        <w:tc>
          <w:tcPr>
            <w:tcW w:w="3096" w:type="dxa"/>
            <w:gridSpan w:val="2"/>
            <w:vAlign w:val="center"/>
          </w:tcPr>
          <w:p w:rsidR="00C51434"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美容、美发</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C51434" w:rsidTr="003D67FE">
        <w:trPr>
          <w:trHeight w:val="624"/>
        </w:trPr>
        <w:tc>
          <w:tcPr>
            <w:tcW w:w="3096" w:type="dxa"/>
            <w:gridSpan w:val="2"/>
            <w:vAlign w:val="center"/>
          </w:tcPr>
          <w:p w:rsidR="00C51434"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按摩、桑拿</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r>
      <w:tr w:rsidR="00C51434" w:rsidTr="003D67FE">
        <w:trPr>
          <w:trHeight w:val="624"/>
        </w:trPr>
        <w:tc>
          <w:tcPr>
            <w:tcW w:w="3096" w:type="dxa"/>
            <w:gridSpan w:val="2"/>
            <w:vAlign w:val="center"/>
          </w:tcPr>
          <w:p w:rsidR="00C51434" w:rsidRDefault="003D67FE"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其他行业</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3096" w:type="dxa"/>
            <w:vAlign w:val="center"/>
          </w:tcPr>
          <w:p w:rsidR="00C51434" w:rsidRDefault="00FE76A8" w:rsidP="003D67F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bl>
    <w:p w:rsidR="00743FAD" w:rsidRDefault="00743FAD" w:rsidP="00C51434">
      <w:pPr>
        <w:spacing w:after="0" w:line="360" w:lineRule="auto"/>
        <w:rPr>
          <w:rFonts w:asciiTheme="minorEastAsia" w:eastAsiaTheme="minorEastAsia" w:hAnsiTheme="minorEastAsia"/>
          <w:sz w:val="24"/>
          <w:szCs w:val="24"/>
        </w:rPr>
      </w:pPr>
    </w:p>
    <w:p w:rsidR="00743FAD" w:rsidRDefault="00743FAD" w:rsidP="00B23CEB">
      <w:pPr>
        <w:spacing w:after="0" w:line="360" w:lineRule="auto"/>
        <w:ind w:firstLineChars="200" w:firstLine="480"/>
        <w:rPr>
          <w:rFonts w:asciiTheme="minorEastAsia" w:eastAsiaTheme="minorEastAsia" w:hAnsiTheme="minorEastAsia"/>
          <w:sz w:val="24"/>
          <w:szCs w:val="24"/>
        </w:rPr>
      </w:pPr>
    </w:p>
    <w:p w:rsidR="00743FAD" w:rsidRDefault="00743FAD" w:rsidP="00B23CEB">
      <w:pPr>
        <w:spacing w:after="0" w:line="360" w:lineRule="auto"/>
        <w:ind w:firstLineChars="200" w:firstLine="480"/>
        <w:rPr>
          <w:rFonts w:asciiTheme="minorEastAsia" w:eastAsiaTheme="minorEastAsia" w:hAnsiTheme="minorEastAsia"/>
          <w:sz w:val="24"/>
          <w:szCs w:val="24"/>
        </w:rPr>
      </w:pPr>
    </w:p>
    <w:p w:rsidR="00743FAD" w:rsidRDefault="00743FAD" w:rsidP="00B23CEB">
      <w:pPr>
        <w:spacing w:after="0" w:line="360" w:lineRule="auto"/>
        <w:ind w:firstLineChars="200" w:firstLine="480"/>
        <w:rPr>
          <w:rFonts w:asciiTheme="minorEastAsia" w:eastAsiaTheme="minorEastAsia" w:hAnsiTheme="minorEastAsia"/>
          <w:sz w:val="24"/>
          <w:szCs w:val="24"/>
        </w:rPr>
      </w:pPr>
    </w:p>
    <w:p w:rsidR="00743FAD" w:rsidRDefault="00743FAD" w:rsidP="00B23CEB">
      <w:pPr>
        <w:spacing w:after="0" w:line="360" w:lineRule="auto"/>
        <w:ind w:firstLineChars="200" w:firstLine="480"/>
        <w:rPr>
          <w:rFonts w:asciiTheme="minorEastAsia" w:eastAsiaTheme="minorEastAsia" w:hAnsiTheme="minorEastAsia"/>
          <w:sz w:val="24"/>
          <w:szCs w:val="24"/>
        </w:rPr>
      </w:pPr>
    </w:p>
    <w:p w:rsidR="00743FAD" w:rsidRDefault="00743FAD" w:rsidP="00B23CEB">
      <w:pPr>
        <w:spacing w:after="0" w:line="360" w:lineRule="auto"/>
        <w:ind w:firstLineChars="200" w:firstLine="480"/>
        <w:rPr>
          <w:rFonts w:asciiTheme="minorEastAsia" w:eastAsiaTheme="minorEastAsia" w:hAnsiTheme="minorEastAsia"/>
          <w:sz w:val="24"/>
          <w:szCs w:val="24"/>
        </w:rPr>
      </w:pPr>
    </w:p>
    <w:p w:rsidR="00743FAD" w:rsidRDefault="00743FAD" w:rsidP="00B23CEB">
      <w:pPr>
        <w:spacing w:after="0" w:line="360" w:lineRule="auto"/>
        <w:ind w:firstLineChars="200" w:firstLine="480"/>
        <w:rPr>
          <w:rFonts w:asciiTheme="minorEastAsia" w:eastAsiaTheme="minorEastAsia" w:hAnsiTheme="minorEastAsia"/>
          <w:sz w:val="24"/>
          <w:szCs w:val="24"/>
        </w:rPr>
      </w:pPr>
    </w:p>
    <w:p w:rsidR="00743FAD" w:rsidRDefault="00743FAD" w:rsidP="00B23CEB">
      <w:pPr>
        <w:spacing w:after="0" w:line="360" w:lineRule="auto"/>
        <w:ind w:firstLineChars="200" w:firstLine="480"/>
        <w:rPr>
          <w:rFonts w:asciiTheme="minorEastAsia" w:eastAsiaTheme="minorEastAsia" w:hAnsiTheme="minorEastAsia"/>
          <w:sz w:val="24"/>
          <w:szCs w:val="24"/>
        </w:rPr>
      </w:pPr>
    </w:p>
    <w:p w:rsidR="00743FAD" w:rsidRDefault="00743FAD" w:rsidP="00B23CEB">
      <w:pPr>
        <w:spacing w:after="0" w:line="360" w:lineRule="auto"/>
        <w:ind w:firstLineChars="200" w:firstLine="480"/>
        <w:rPr>
          <w:rFonts w:asciiTheme="minorEastAsia" w:eastAsiaTheme="minorEastAsia" w:hAnsiTheme="minorEastAsia"/>
          <w:sz w:val="24"/>
          <w:szCs w:val="24"/>
        </w:rPr>
      </w:pPr>
    </w:p>
    <w:p w:rsidR="00A116F2" w:rsidRPr="004E6275" w:rsidRDefault="00A116F2" w:rsidP="00FC0604">
      <w:pPr>
        <w:pStyle w:val="2"/>
        <w:jc w:val="center"/>
        <w:rPr>
          <w:rFonts w:asciiTheme="minorEastAsia" w:eastAsiaTheme="minorEastAsia" w:hAnsiTheme="minorEastAsia"/>
          <w:b w:val="0"/>
          <w:sz w:val="28"/>
          <w:szCs w:val="28"/>
        </w:rPr>
      </w:pPr>
      <w:r w:rsidRPr="004E6275">
        <w:rPr>
          <w:rFonts w:asciiTheme="minorEastAsia" w:eastAsiaTheme="minorEastAsia" w:hAnsiTheme="minorEastAsia"/>
          <w:sz w:val="28"/>
          <w:szCs w:val="28"/>
        </w:rPr>
        <w:lastRenderedPageBreak/>
        <w:t>浙江省地方税务局关于企业</w:t>
      </w:r>
      <w:r w:rsidRPr="00FC0604">
        <w:rPr>
          <w:sz w:val="28"/>
          <w:szCs w:val="28"/>
        </w:rPr>
        <w:t>所得税</w:t>
      </w:r>
      <w:r w:rsidRPr="004E6275">
        <w:rPr>
          <w:rFonts w:asciiTheme="minorEastAsia" w:eastAsiaTheme="minorEastAsia" w:hAnsiTheme="minorEastAsia"/>
          <w:sz w:val="28"/>
          <w:szCs w:val="28"/>
        </w:rPr>
        <w:t>若干政策及有关问题的通知</w:t>
      </w:r>
    </w:p>
    <w:p w:rsidR="00A116F2" w:rsidRPr="00B23CEB" w:rsidRDefault="00A116F2" w:rsidP="004E6275">
      <w:pPr>
        <w:spacing w:after="0" w:line="360" w:lineRule="auto"/>
        <w:jc w:val="center"/>
        <w:rPr>
          <w:rFonts w:asciiTheme="minorEastAsia" w:eastAsiaTheme="minorEastAsia" w:hAnsiTheme="minorEastAsia"/>
          <w:sz w:val="24"/>
          <w:szCs w:val="24"/>
        </w:rPr>
      </w:pPr>
      <w:r w:rsidRPr="00B23CEB">
        <w:rPr>
          <w:rFonts w:asciiTheme="minorEastAsia" w:eastAsiaTheme="minorEastAsia" w:hAnsiTheme="minorEastAsia"/>
          <w:sz w:val="24"/>
          <w:szCs w:val="24"/>
        </w:rPr>
        <w:t>浙地税函〔2005〕566号</w:t>
      </w:r>
    </w:p>
    <w:p w:rsidR="00A116F2" w:rsidRPr="00B23CEB" w:rsidRDefault="00A116F2" w:rsidP="004E6275">
      <w:pPr>
        <w:spacing w:after="0" w:line="360" w:lineRule="auto"/>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各市、县(市、区)地方税务局(不发宁波)，省地方税务局直属一分局、稽查局： </w:t>
      </w:r>
    </w:p>
    <w:p w:rsidR="00A116F2" w:rsidRPr="00B23CEB" w:rsidRDefault="00A116F2" w:rsidP="004E627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为做好 2005 年企业所得税汇算清缴工作，进一步规范企业所得税征管，保持企业所得税收入可持续增长，现将有关问题明确如下，希遵照执行。 </w:t>
      </w:r>
    </w:p>
    <w:p w:rsidR="00A116F2" w:rsidRPr="00B23CEB" w:rsidRDefault="00A116F2" w:rsidP="004E627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一、各级地税机关要按照《国家税务总局关于 2005 年度前三季度企业所得税收入情况的通报》（国税函〔2005〕1107号）要求，以科学发展观为指导，切实把握好今年最后几天的所得税工作，树立税收优惠政策执行不到位也是收过头税的观念，可以确认企业符合所得税优惠政策条件的，应在今年年底前落实到位，该免征的税款应给予免征、该退税的应给予退税。企业属于 2005 年度的税前扣除项目，除需在汇算清缴时才能确定的外，应在今年12月底前进行扣除。 </w:t>
      </w:r>
    </w:p>
    <w:p w:rsidR="00A116F2" w:rsidRPr="00B23CEB" w:rsidRDefault="00A116F2" w:rsidP="004E627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二、要进一步改进和加强企业所得税汇算清缴工作，准确定位税务机关和纳税人在汇算清缴中的角色，各自承担相应的责任和义务。企业所得税汇算清缴是纳税人依照税收法律、法规和有关税收规定自行计算应纳所得税额，在月度或季度预缴基础上，确定全年应补、应退税款，并填写年度企业所得税纳税申报表，在规定时间内向税务机关申报，办理结清税款手续的行为，纳税人是汇算清缴的主体，对申报内容的真实性、税款计算的准确性和申报资料的完整性负法律责任。税务机关主要负责对纳税人汇算清缴进行政策宣传、解释和程序辅导，并对纳税人自核自</w:t>
      </w:r>
      <w:proofErr w:type="gramStart"/>
      <w:r w:rsidRPr="00B23CEB">
        <w:rPr>
          <w:rFonts w:asciiTheme="minorEastAsia" w:eastAsiaTheme="minorEastAsia" w:hAnsiTheme="minorEastAsia"/>
          <w:sz w:val="24"/>
          <w:szCs w:val="24"/>
        </w:rPr>
        <w:t>缴结果</w:t>
      </w:r>
      <w:proofErr w:type="gramEnd"/>
      <w:r w:rsidRPr="00B23CEB">
        <w:rPr>
          <w:rFonts w:asciiTheme="minorEastAsia" w:eastAsiaTheme="minorEastAsia" w:hAnsiTheme="minorEastAsia"/>
          <w:sz w:val="24"/>
          <w:szCs w:val="24"/>
        </w:rPr>
        <w:t xml:space="preserve">进行审核和评估。 </w:t>
      </w:r>
    </w:p>
    <w:p w:rsidR="00A116F2" w:rsidRPr="00B23CEB" w:rsidRDefault="00A116F2" w:rsidP="004E627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三、根据《国家税务总局关于建筑安装企业所得税纳税地点问题的通知》（国税发〔1995〕227 号）规定，建筑安装企业离开工商登记注册地或经营管理所在地到本县（区）以外地区施工的，应向其注册地或经营管理所在地的主管税务机关申请开具外出经营活动税收证明，并将外出经营活动税收证明</w:t>
      </w:r>
      <w:proofErr w:type="gramStart"/>
      <w:r w:rsidRPr="00B23CEB">
        <w:rPr>
          <w:rFonts w:asciiTheme="minorEastAsia" w:eastAsiaTheme="minorEastAsia" w:hAnsiTheme="minorEastAsia"/>
          <w:sz w:val="24"/>
          <w:szCs w:val="24"/>
        </w:rPr>
        <w:t>报施工</w:t>
      </w:r>
      <w:proofErr w:type="gramEnd"/>
      <w:r w:rsidRPr="00B23CEB">
        <w:rPr>
          <w:rFonts w:asciiTheme="minorEastAsia" w:eastAsiaTheme="minorEastAsia" w:hAnsiTheme="minorEastAsia"/>
          <w:sz w:val="24"/>
          <w:szCs w:val="24"/>
        </w:rPr>
        <w:t xml:space="preserve">地主管税务机关核实登记，其经营所得，由所在地主管税务机关一并计征所得税。各地要严格按照国税发〔1995〕227号文件规定，做好外来尤其是省内建筑安装企业所得税纳税地点的认定，坚决杜绝各自为政，不按规定认定现象的发生。各地在执行中遇到问题，应及时与省局联系。 </w:t>
      </w:r>
    </w:p>
    <w:p w:rsidR="00A116F2" w:rsidRPr="00B23CEB" w:rsidRDefault="00A116F2" w:rsidP="004E627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四、财务核算制度健全、实行查账征收企业所得税的超市、家政、洗车、美容美发等企业在提供产品或服务时，收取的预收性质的价款（包括用户预存款、预收有价卡款和其他预收款），应按照权责发生制原则确认销售营业收入的实现时间，据以计</w:t>
      </w:r>
      <w:r w:rsidRPr="00B23CEB">
        <w:rPr>
          <w:rFonts w:asciiTheme="minorEastAsia" w:eastAsiaTheme="minorEastAsia" w:hAnsiTheme="minorEastAsia"/>
          <w:sz w:val="24"/>
          <w:szCs w:val="24"/>
        </w:rPr>
        <w:lastRenderedPageBreak/>
        <w:t xml:space="preserve">算缴纳企业所得税。对以前年度已征收企业所得税的预收款不再按照权责发生制确认为以后年度的应纳税收入。 </w:t>
      </w:r>
    </w:p>
    <w:p w:rsidR="00A116F2" w:rsidRPr="00B23CEB" w:rsidRDefault="00A116F2" w:rsidP="009E665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五、企业为全体雇员在商业保险公司办理的补充养老保险（含补充养老保险、企业年金等）的税前扣除</w:t>
      </w:r>
      <w:proofErr w:type="gramStart"/>
      <w:r w:rsidRPr="00B23CEB">
        <w:rPr>
          <w:rFonts w:asciiTheme="minorEastAsia" w:eastAsiaTheme="minorEastAsia" w:hAnsiTheme="minorEastAsia"/>
          <w:sz w:val="24"/>
          <w:szCs w:val="24"/>
        </w:rPr>
        <w:t>支出按浙地税</w:t>
      </w:r>
      <w:proofErr w:type="gramEnd"/>
      <w:r w:rsidRPr="00B23CEB">
        <w:rPr>
          <w:rFonts w:asciiTheme="minorEastAsia" w:eastAsiaTheme="minorEastAsia" w:hAnsiTheme="minorEastAsia"/>
          <w:sz w:val="24"/>
          <w:szCs w:val="24"/>
        </w:rPr>
        <w:t xml:space="preserve">函〔2004〕34号的有关规定执行。 </w:t>
      </w:r>
    </w:p>
    <w:p w:rsidR="00A116F2" w:rsidRPr="00B23CEB" w:rsidRDefault="00A116F2" w:rsidP="009E665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六、纳税人之间相互拆借资金，借资方企业的股权结构没有发生改变的，出资方企业从借资方企业取得的收入，能出具借资方企业主管税务机关完税证明的，按“投资收益”处理；不能出具完税证明的，出资方企业按“利息收入”处理， 借资方企业视作“利息支出”，</w:t>
      </w:r>
      <w:proofErr w:type="gramStart"/>
      <w:r w:rsidRPr="00B23CEB">
        <w:rPr>
          <w:rFonts w:asciiTheme="minorEastAsia" w:eastAsiaTheme="minorEastAsia" w:hAnsiTheme="minorEastAsia"/>
          <w:sz w:val="24"/>
          <w:szCs w:val="24"/>
        </w:rPr>
        <w:t>按浙地税</w:t>
      </w:r>
      <w:proofErr w:type="gramEnd"/>
      <w:r w:rsidRPr="00B23CEB">
        <w:rPr>
          <w:rFonts w:asciiTheme="minorEastAsia" w:eastAsiaTheme="minorEastAsia" w:hAnsiTheme="minorEastAsia"/>
          <w:sz w:val="24"/>
          <w:szCs w:val="24"/>
        </w:rPr>
        <w:t xml:space="preserve">函〔2005〕548号第一条的有关规定处理。 </w:t>
      </w:r>
    </w:p>
    <w:p w:rsidR="00A116F2" w:rsidRPr="00B23CEB" w:rsidRDefault="00A116F2" w:rsidP="009E665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七、根据《国家税务总局关于工会经费税前扣除问题的通知》（国税函〔2000〕678号）规定，凡依法建立工会组织的企业、事业单位以及其它组织，每月按全部职工工资总额的百分之二向工会拨缴的经费，可凭工会组织开具的《工会经费拨缴款专用收据》全额在税前扣除。凡不能出具《工会经费拨缴款专用收据》的，其提取的职工工会经费不得在税前扣除。 </w:t>
      </w:r>
    </w:p>
    <w:p w:rsidR="00A116F2" w:rsidRPr="00B23CEB" w:rsidRDefault="00A116F2" w:rsidP="009E665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八、既有事业编制人员又有非事业编制人员的纳税人，其按照国务院规定的事业单位工作人员工资制度，发放给事业编制人员的工资额部分可按照规定的工资标准在计算企业所得税前扣除，超过规定工资标准发放的工资部分不得在税前扣除；发放给非事业编制人员的工资额部分按计税工资标准在税前扣除。 </w:t>
      </w:r>
    </w:p>
    <w:p w:rsidR="00A116F2" w:rsidRPr="00B23CEB" w:rsidRDefault="00A116F2" w:rsidP="009E665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九、企业发生固定资产损失（</w:t>
      </w:r>
      <w:proofErr w:type="gramStart"/>
      <w:r w:rsidRPr="00B23CEB">
        <w:rPr>
          <w:rFonts w:asciiTheme="minorEastAsia" w:eastAsiaTheme="minorEastAsia" w:hAnsiTheme="minorEastAsia"/>
          <w:sz w:val="24"/>
          <w:szCs w:val="24"/>
        </w:rPr>
        <w:t>含正常</w:t>
      </w:r>
      <w:proofErr w:type="gramEnd"/>
      <w:r w:rsidRPr="00B23CEB">
        <w:rPr>
          <w:rFonts w:asciiTheme="minorEastAsia" w:eastAsiaTheme="minorEastAsia" w:hAnsiTheme="minorEastAsia"/>
          <w:sz w:val="24"/>
          <w:szCs w:val="24"/>
        </w:rPr>
        <w:t xml:space="preserve">损失、非正常损失），在确认财产损失具体金额时，其以前年度应提未提的折旧部分，暂不允许确认为财产损失在企业所得税前计算扣除。 </w:t>
      </w:r>
    </w:p>
    <w:p w:rsidR="00A116F2" w:rsidRPr="00B23CEB" w:rsidRDefault="00A116F2" w:rsidP="009E6655">
      <w:pPr>
        <w:spacing w:after="0" w:line="360" w:lineRule="auto"/>
        <w:ind w:firstLineChars="200" w:firstLine="480"/>
        <w:jc w:val="right"/>
        <w:rPr>
          <w:rFonts w:asciiTheme="minorEastAsia" w:eastAsiaTheme="minorEastAsia" w:hAnsiTheme="minorEastAsia"/>
          <w:sz w:val="24"/>
          <w:szCs w:val="24"/>
        </w:rPr>
      </w:pPr>
      <w:r w:rsidRPr="00B23CEB">
        <w:rPr>
          <w:rFonts w:asciiTheme="minorEastAsia" w:eastAsiaTheme="minorEastAsia" w:hAnsiTheme="minorEastAsia"/>
          <w:sz w:val="24"/>
          <w:szCs w:val="24"/>
        </w:rPr>
        <w:t>二</w:t>
      </w:r>
      <w:r w:rsidRPr="00B23CEB">
        <w:rPr>
          <w:rFonts w:asciiTheme="minorEastAsia" w:eastAsiaTheme="minorEastAsia" w:hAnsiTheme="minorEastAsia" w:cs="Arial"/>
          <w:sz w:val="24"/>
          <w:szCs w:val="24"/>
        </w:rPr>
        <w:t>○○</w:t>
      </w:r>
      <w:r w:rsidRPr="00B23CEB">
        <w:rPr>
          <w:rFonts w:asciiTheme="minorEastAsia" w:eastAsiaTheme="minorEastAsia" w:hAnsiTheme="minorEastAsia"/>
          <w:sz w:val="24"/>
          <w:szCs w:val="24"/>
        </w:rPr>
        <w:t xml:space="preserve">五年十二月二十三日 </w:t>
      </w:r>
    </w:p>
    <w:p w:rsidR="009E6655" w:rsidRDefault="009E6655" w:rsidP="009E6655">
      <w:pPr>
        <w:spacing w:after="0" w:line="360" w:lineRule="auto"/>
        <w:jc w:val="center"/>
        <w:rPr>
          <w:rFonts w:asciiTheme="minorEastAsia" w:eastAsiaTheme="minorEastAsia" w:hAnsiTheme="minorEastAsia"/>
          <w:b/>
          <w:sz w:val="28"/>
          <w:szCs w:val="28"/>
        </w:rPr>
      </w:pPr>
    </w:p>
    <w:p w:rsidR="003527B0" w:rsidRDefault="003527B0" w:rsidP="009E6655">
      <w:pPr>
        <w:spacing w:after="0" w:line="360" w:lineRule="auto"/>
        <w:jc w:val="center"/>
        <w:rPr>
          <w:rFonts w:asciiTheme="minorEastAsia" w:eastAsiaTheme="minorEastAsia" w:hAnsiTheme="minorEastAsia"/>
          <w:b/>
          <w:sz w:val="28"/>
          <w:szCs w:val="28"/>
        </w:rPr>
      </w:pPr>
    </w:p>
    <w:p w:rsidR="003527B0" w:rsidRDefault="003527B0" w:rsidP="009E6655">
      <w:pPr>
        <w:spacing w:after="0" w:line="360" w:lineRule="auto"/>
        <w:jc w:val="center"/>
        <w:rPr>
          <w:rFonts w:asciiTheme="minorEastAsia" w:eastAsiaTheme="minorEastAsia" w:hAnsiTheme="minorEastAsia"/>
          <w:b/>
          <w:sz w:val="28"/>
          <w:szCs w:val="28"/>
        </w:rPr>
      </w:pPr>
    </w:p>
    <w:p w:rsidR="003527B0" w:rsidRDefault="003527B0" w:rsidP="009E6655">
      <w:pPr>
        <w:spacing w:after="0" w:line="360" w:lineRule="auto"/>
        <w:jc w:val="center"/>
        <w:rPr>
          <w:rFonts w:asciiTheme="minorEastAsia" w:eastAsiaTheme="minorEastAsia" w:hAnsiTheme="minorEastAsia"/>
          <w:b/>
          <w:sz w:val="28"/>
          <w:szCs w:val="28"/>
        </w:rPr>
      </w:pPr>
    </w:p>
    <w:p w:rsidR="003527B0" w:rsidRDefault="003527B0" w:rsidP="009E6655">
      <w:pPr>
        <w:spacing w:after="0" w:line="360" w:lineRule="auto"/>
        <w:jc w:val="center"/>
        <w:rPr>
          <w:rFonts w:asciiTheme="minorEastAsia" w:eastAsiaTheme="minorEastAsia" w:hAnsiTheme="minorEastAsia"/>
          <w:b/>
          <w:sz w:val="28"/>
          <w:szCs w:val="28"/>
        </w:rPr>
      </w:pPr>
    </w:p>
    <w:p w:rsidR="003527B0" w:rsidRDefault="003527B0" w:rsidP="009E6655">
      <w:pPr>
        <w:spacing w:after="0" w:line="360" w:lineRule="auto"/>
        <w:jc w:val="center"/>
        <w:rPr>
          <w:rFonts w:asciiTheme="minorEastAsia" w:eastAsiaTheme="minorEastAsia" w:hAnsiTheme="minorEastAsia"/>
          <w:b/>
          <w:sz w:val="28"/>
          <w:szCs w:val="28"/>
        </w:rPr>
      </w:pPr>
    </w:p>
    <w:p w:rsidR="003527B0" w:rsidRDefault="003527B0" w:rsidP="006701AC">
      <w:pPr>
        <w:spacing w:after="0" w:line="360" w:lineRule="auto"/>
        <w:rPr>
          <w:rFonts w:asciiTheme="minorEastAsia" w:eastAsiaTheme="minorEastAsia" w:hAnsiTheme="minorEastAsia"/>
          <w:b/>
          <w:sz w:val="28"/>
          <w:szCs w:val="28"/>
        </w:rPr>
      </w:pPr>
    </w:p>
    <w:p w:rsidR="00A116F2" w:rsidRPr="009E6655" w:rsidRDefault="00A116F2" w:rsidP="00FC0604">
      <w:pPr>
        <w:pStyle w:val="2"/>
        <w:jc w:val="center"/>
        <w:rPr>
          <w:rFonts w:asciiTheme="minorEastAsia" w:eastAsiaTheme="minorEastAsia" w:hAnsiTheme="minorEastAsia"/>
          <w:b w:val="0"/>
          <w:sz w:val="28"/>
          <w:szCs w:val="28"/>
        </w:rPr>
      </w:pPr>
      <w:r w:rsidRPr="009E6655">
        <w:rPr>
          <w:rFonts w:asciiTheme="minorEastAsia" w:eastAsiaTheme="minorEastAsia" w:hAnsiTheme="minorEastAsia"/>
          <w:sz w:val="28"/>
          <w:szCs w:val="28"/>
        </w:rPr>
        <w:lastRenderedPageBreak/>
        <w:t>关于2005年度企业所得税汇算清缴若干政策问题的通知</w:t>
      </w:r>
    </w:p>
    <w:p w:rsidR="00A116F2" w:rsidRPr="00B23CEB" w:rsidRDefault="00A116F2" w:rsidP="009E6655">
      <w:pPr>
        <w:spacing w:after="0" w:line="360" w:lineRule="auto"/>
        <w:jc w:val="center"/>
        <w:rPr>
          <w:rFonts w:asciiTheme="minorEastAsia" w:eastAsiaTheme="minorEastAsia" w:hAnsiTheme="minorEastAsia"/>
          <w:sz w:val="24"/>
          <w:szCs w:val="24"/>
        </w:rPr>
      </w:pPr>
      <w:r w:rsidRPr="00B23CEB">
        <w:rPr>
          <w:rFonts w:asciiTheme="minorEastAsia" w:eastAsiaTheme="minorEastAsia" w:hAnsiTheme="minorEastAsia"/>
          <w:sz w:val="24"/>
          <w:szCs w:val="24"/>
        </w:rPr>
        <w:t>杭地税二〔2005〕238号</w:t>
      </w:r>
    </w:p>
    <w:p w:rsidR="00A116F2" w:rsidRPr="00B23CEB" w:rsidRDefault="00A116F2" w:rsidP="009E6655">
      <w:pPr>
        <w:spacing w:after="0" w:line="360" w:lineRule="auto"/>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各县（市）地方税务局，杭州萧山、余杭地方税务局，市地方税务局各税务分局、稽查一局、稽查二局，市级各企业主管部门，高新技术产业开发区、经济技术开发区、之江旅游度假区、西湖风景名胜区管理委员会，各区计经局： </w:t>
      </w:r>
    </w:p>
    <w:p w:rsidR="00A116F2" w:rsidRPr="00B23CEB" w:rsidRDefault="00A116F2" w:rsidP="009E665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根据国家税务总局《企业所得税汇算清缴管理办法》（国税发〔2005〕200号）和《浙江省地方税务局关于企业所得税若干政策及有关问题的通知》（浙地税函〔2005〕566 号）的规定，为做好 2005年度企业所得税汇算清缴工作，进一步规范企业所得税征管，现对2005 年度企业所得税汇算清缴若干政策提出如下意见，请认真贯彻执行。 </w:t>
      </w:r>
    </w:p>
    <w:p w:rsidR="00A116F2" w:rsidRPr="00B23CEB" w:rsidRDefault="00A116F2" w:rsidP="009E665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一、要进一步改进和加强企业所得税汇算清缴工作，准确定位税务机关和纳税人在汇算清缴中的角色，各自承担相应的责任和义务。企业所得税汇算清缴是纳税人依照税收法律、法规和有关税收规定自行计算应纳所得税额，在月度或季度预缴基础上，确定全年应补、应退税款，并填写年度企业所得税纳税申报表，在规定时间内向税务机关申报、办理结清税款手续的过程，纳税人是汇算清缴的主体，对申报内容的真实性、税款计算的准确性和申报资料的完整性负法律责任。税务机关主要负责对纳税人汇算清缴进行政策宣传、解释和程序辅导，并对纳税人自核自</w:t>
      </w:r>
      <w:proofErr w:type="gramStart"/>
      <w:r w:rsidRPr="00B23CEB">
        <w:rPr>
          <w:rFonts w:asciiTheme="minorEastAsia" w:eastAsiaTheme="minorEastAsia" w:hAnsiTheme="minorEastAsia"/>
          <w:sz w:val="24"/>
          <w:szCs w:val="24"/>
        </w:rPr>
        <w:t>缴结果</w:t>
      </w:r>
      <w:proofErr w:type="gramEnd"/>
      <w:r w:rsidRPr="00B23CEB">
        <w:rPr>
          <w:rFonts w:asciiTheme="minorEastAsia" w:eastAsiaTheme="minorEastAsia" w:hAnsiTheme="minorEastAsia"/>
          <w:sz w:val="24"/>
          <w:szCs w:val="24"/>
        </w:rPr>
        <w:t xml:space="preserve">进行审核和评估。 </w:t>
      </w:r>
    </w:p>
    <w:p w:rsidR="00A116F2" w:rsidRPr="00B23CEB" w:rsidRDefault="00A116F2" w:rsidP="009E665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二、财务核算制度健全、实行查账征收企业所得税的超市、家政、洗车、美容美发等企业在提供产品或服务时，收取的预收性质的价款（包括用户预存款、预收有价卡款和其他预收款），应按照权责发生制原则确认销售营业收入的实现时间，据以计算缴纳企业所得税。对以前年度已征收企业所得税的预收款不再进行调整。 </w:t>
      </w:r>
    </w:p>
    <w:p w:rsidR="00A116F2" w:rsidRPr="00B23CEB" w:rsidRDefault="00A116F2" w:rsidP="009E665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三、企业为全体雇员在商业保险公司办理的补充养老保险（含补充养老保险、企业年金等）、补充医疗保险的税前扣除支出，</w:t>
      </w:r>
      <w:proofErr w:type="gramStart"/>
      <w:r w:rsidRPr="00B23CEB">
        <w:rPr>
          <w:rFonts w:asciiTheme="minorEastAsia" w:eastAsiaTheme="minorEastAsia" w:hAnsiTheme="minorEastAsia"/>
          <w:sz w:val="24"/>
          <w:szCs w:val="24"/>
        </w:rPr>
        <w:t>按浙地税</w:t>
      </w:r>
      <w:proofErr w:type="gramEnd"/>
      <w:r w:rsidRPr="00B23CEB">
        <w:rPr>
          <w:rFonts w:asciiTheme="minorEastAsia" w:eastAsiaTheme="minorEastAsia" w:hAnsiTheme="minorEastAsia"/>
          <w:sz w:val="24"/>
          <w:szCs w:val="24"/>
        </w:rPr>
        <w:t xml:space="preserve">函〔2004〕34号的有关规定执行，即必须同时满足以下条件： </w:t>
      </w:r>
    </w:p>
    <w:p w:rsidR="00A116F2" w:rsidRPr="00B23CEB" w:rsidRDefault="00A116F2" w:rsidP="009E665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1.企业必须是在足额缴纳基本养老保险费、基本医疗保险费的基础上，为全体雇员办理的补充养老保险、补充医疗保险支出，且其补充养老保险、补充医疗保险的缴费基数分别不得超过基本养老保险、基本医疗保险费的缴费基数，允许其在税前扣除的支出标准分别为本单位基本养老保险、基本医疗保险的缴费基数的5%和4%以内； </w:t>
      </w:r>
    </w:p>
    <w:p w:rsidR="00A116F2" w:rsidRPr="00B23CEB" w:rsidRDefault="00A116F2" w:rsidP="009E665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2.企业办理的补充养老保险必须在参保人</w:t>
      </w:r>
      <w:proofErr w:type="gramStart"/>
      <w:r w:rsidRPr="00B23CEB">
        <w:rPr>
          <w:rFonts w:asciiTheme="minorEastAsia" w:eastAsiaTheme="minorEastAsia" w:hAnsiTheme="minorEastAsia"/>
          <w:sz w:val="24"/>
          <w:szCs w:val="24"/>
        </w:rPr>
        <w:t>员达到</w:t>
      </w:r>
      <w:proofErr w:type="gramEnd"/>
      <w:r w:rsidRPr="00B23CEB">
        <w:rPr>
          <w:rFonts w:asciiTheme="minorEastAsia" w:eastAsiaTheme="minorEastAsia" w:hAnsiTheme="minorEastAsia"/>
          <w:sz w:val="24"/>
          <w:szCs w:val="24"/>
        </w:rPr>
        <w:t xml:space="preserve">法定退休年龄、办理退休手续后及符合有关规定的享受条件的才能领取； </w:t>
      </w:r>
    </w:p>
    <w:p w:rsidR="00A116F2" w:rsidRPr="00B23CEB" w:rsidRDefault="00A116F2" w:rsidP="009E6655">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lastRenderedPageBreak/>
        <w:t xml:space="preserve">3.企业办理的补充医疗保险必须用于参保人员的医疗性支出。 如企业不同时满足上述三个条件自行在税前列支的，一经查实，将按《中华人民共和国税收征收管理法》的有关规定予以处罚。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四、纳税人之间相互拆借资金，借资方企业的股权结构没有发生改变的，出资方企业从借资方企业取得的收入，能出具借资方企业主管税务机关完税证明的，按“投资收益”处理；不能出具完税证明的，出资方企业按“利息收入”处理，借资方企业视作“利息支出”，</w:t>
      </w:r>
      <w:proofErr w:type="gramStart"/>
      <w:r w:rsidRPr="00B23CEB">
        <w:rPr>
          <w:rFonts w:asciiTheme="minorEastAsia" w:eastAsiaTheme="minorEastAsia" w:hAnsiTheme="minorEastAsia"/>
          <w:sz w:val="24"/>
          <w:szCs w:val="24"/>
        </w:rPr>
        <w:t>按浙地税</w:t>
      </w:r>
      <w:proofErr w:type="gramEnd"/>
      <w:r w:rsidRPr="00B23CEB">
        <w:rPr>
          <w:rFonts w:asciiTheme="minorEastAsia" w:eastAsiaTheme="minorEastAsia" w:hAnsiTheme="minorEastAsia"/>
          <w:sz w:val="24"/>
          <w:szCs w:val="24"/>
        </w:rPr>
        <w:t xml:space="preserve">函[2005]548号第一条的有关规定处理。 </w:t>
      </w:r>
    </w:p>
    <w:p w:rsidR="00A116F2" w:rsidRPr="00B23CEB" w:rsidRDefault="00A116F2" w:rsidP="009417FA">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五、根据《国家税务总局关于工会经费税前扣除问题的通知》（国税函〔2000〕678号）规定，建立工会组织的企业、事业单位以及其他组织，每月按全部职工工资总额的 2%向工会拨缴的经费，可凭工会组织开具的《工会经费拨缴款专用收据》全额在税前扣除。凡不能出具《工会经费拨缴款专用收据》的，其提取的职工工会经费不得在税前扣除。 </w:t>
      </w:r>
    </w:p>
    <w:p w:rsidR="00A116F2" w:rsidRPr="00B23CEB" w:rsidRDefault="00A116F2" w:rsidP="009417FA">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六、既有事业编制人员又有非事业编制人员的纳税人，其按照国务院规定的事业单位工作人员工资制度，发放给事业编制人员的工资额部分可按照规定的工资标准在计算企业所得税前扣除，超过规定工资标准发放的工资部分不得在税前扣除；发放给非事业编制人员的工资额部分按计税工资标准在税前扣除。 </w:t>
      </w:r>
    </w:p>
    <w:p w:rsidR="00A116F2" w:rsidRPr="00B23CEB" w:rsidRDefault="00A116F2" w:rsidP="009417FA">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七、企业发生固定资产损失（</w:t>
      </w:r>
      <w:proofErr w:type="gramStart"/>
      <w:r w:rsidRPr="00B23CEB">
        <w:rPr>
          <w:rFonts w:asciiTheme="minorEastAsia" w:eastAsiaTheme="minorEastAsia" w:hAnsiTheme="minorEastAsia"/>
          <w:sz w:val="24"/>
          <w:szCs w:val="24"/>
        </w:rPr>
        <w:t>含正常</w:t>
      </w:r>
      <w:proofErr w:type="gramEnd"/>
      <w:r w:rsidRPr="00B23CEB">
        <w:rPr>
          <w:rFonts w:asciiTheme="minorEastAsia" w:eastAsiaTheme="minorEastAsia" w:hAnsiTheme="minorEastAsia"/>
          <w:sz w:val="24"/>
          <w:szCs w:val="24"/>
        </w:rPr>
        <w:t xml:space="preserve">损失、非正常损失），在确认财产损失具体金额时，其以前年度应提未提的折旧部分，不允许确认为财产损失在企业所得税前计算扣除。 </w:t>
      </w:r>
    </w:p>
    <w:p w:rsidR="00A116F2" w:rsidRPr="00B23CEB" w:rsidRDefault="00A116F2" w:rsidP="009417FA">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八、企业所得税实行核定应税所得率征收的，收入总额范围 按《企业所得税暂行条例》的有关规定确定，具体包括生产经营收入、财产转让收入、利息收入、租赁收入、特许权使用费收入、股息收入、其他收入。 </w:t>
      </w:r>
    </w:p>
    <w:p w:rsidR="00A116F2" w:rsidRPr="00B23CEB" w:rsidRDefault="00A116F2" w:rsidP="009417FA">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九、按照现行规定，企业租入固定资产的改良支出作为递延资产在不短于5年的期限内平均摊销，如租赁期限短于5年的，企业发生的固定资产改良支出摊销余额允许在租赁期最后一年一次性摊销。 </w:t>
      </w:r>
    </w:p>
    <w:p w:rsidR="00A116F2" w:rsidRPr="00B23CEB" w:rsidRDefault="00A116F2" w:rsidP="009417FA">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十、从国税发〔2003〕70号文下发之日起（2003年6月18日），企业新购置的固定资产在计算可扣除的固定资产折旧额时，固定资产残值比例统一确定为 5%。在上述文件下发之日前购置的固定资产，企业已按不高于5%的比例自行确定的残值比例，不再进行调整。 </w:t>
      </w:r>
    </w:p>
    <w:p w:rsidR="00A116F2" w:rsidRPr="00B23CEB" w:rsidRDefault="00A116F2" w:rsidP="00524E9F">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lastRenderedPageBreak/>
        <w:t>十一、企业已提取减值、跌价或坏帐准备的资产，如果申报纳税时已调增应纳税所得，因价值恢复或转让处置有关资产而冲销的准备应允</w:t>
      </w:r>
      <w:proofErr w:type="gramStart"/>
      <w:r w:rsidRPr="00B23CEB">
        <w:rPr>
          <w:rFonts w:asciiTheme="minorEastAsia" w:eastAsiaTheme="minorEastAsia" w:hAnsiTheme="minorEastAsia"/>
          <w:sz w:val="24"/>
          <w:szCs w:val="24"/>
        </w:rPr>
        <w:t>许企业</w:t>
      </w:r>
      <w:proofErr w:type="gramEnd"/>
      <w:r w:rsidRPr="00B23CEB">
        <w:rPr>
          <w:rFonts w:asciiTheme="minorEastAsia" w:eastAsiaTheme="minorEastAsia" w:hAnsiTheme="minorEastAsia"/>
          <w:sz w:val="24"/>
          <w:szCs w:val="24"/>
        </w:rPr>
        <w:t>做相应的纳税调减；由于会计制度与税法差异导致税前会计利润与应纳税所得额之间的可抵减时间性差异项目，以前年度企业纳税申报时已调增应纳税所得的，在动用和结转年度允许作纳税调减；实行长期股权投资权益法核算的企业，年末按应享有的被投资企业当年实现的净利润的份额确认的投资收益（被投资企业未作利润分配处理），允许企业作纳税调减。企业上述情况所作的纳税调减，允许调减到年度应纳税所得额出现负数；其余情况只能纳税调减到年度应纳税</w:t>
      </w:r>
      <w:proofErr w:type="gramStart"/>
      <w:r w:rsidRPr="00B23CEB">
        <w:rPr>
          <w:rFonts w:asciiTheme="minorEastAsia" w:eastAsiaTheme="minorEastAsia" w:hAnsiTheme="minorEastAsia"/>
          <w:sz w:val="24"/>
          <w:szCs w:val="24"/>
        </w:rPr>
        <w:t>所得额零为止</w:t>
      </w:r>
      <w:proofErr w:type="gramEnd"/>
      <w:r w:rsidRPr="00B23CEB">
        <w:rPr>
          <w:rFonts w:asciiTheme="minorEastAsia" w:eastAsiaTheme="minorEastAsia" w:hAnsiTheme="minorEastAsia"/>
          <w:sz w:val="24"/>
          <w:szCs w:val="24"/>
        </w:rPr>
        <w:t xml:space="preserve">。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w:t>
      </w:r>
    </w:p>
    <w:p w:rsidR="00A116F2" w:rsidRPr="00B23CEB" w:rsidRDefault="00A116F2" w:rsidP="00524E9F">
      <w:pPr>
        <w:spacing w:after="0" w:line="360" w:lineRule="auto"/>
        <w:ind w:firstLineChars="200" w:firstLine="480"/>
        <w:jc w:val="right"/>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二</w:t>
      </w:r>
      <w:r w:rsidRPr="00B23CEB">
        <w:rPr>
          <w:rFonts w:asciiTheme="minorEastAsia" w:eastAsiaTheme="minorEastAsia" w:hAnsiTheme="minorEastAsia" w:cs="Arial"/>
          <w:sz w:val="24"/>
          <w:szCs w:val="24"/>
        </w:rPr>
        <w:t>○○</w:t>
      </w:r>
      <w:r w:rsidRPr="00B23CEB">
        <w:rPr>
          <w:rFonts w:asciiTheme="minorEastAsia" w:eastAsiaTheme="minorEastAsia" w:hAnsiTheme="minorEastAsia"/>
          <w:sz w:val="24"/>
          <w:szCs w:val="24"/>
        </w:rPr>
        <w:t xml:space="preserve">五年十二月二十七日 </w:t>
      </w:r>
    </w:p>
    <w:p w:rsidR="00524E9F" w:rsidRDefault="00524E9F"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sz w:val="24"/>
          <w:szCs w:val="24"/>
        </w:rPr>
      </w:pPr>
    </w:p>
    <w:p w:rsidR="003527B0" w:rsidRDefault="003527B0" w:rsidP="00B23CEB">
      <w:pPr>
        <w:spacing w:after="0" w:line="360" w:lineRule="auto"/>
        <w:ind w:firstLineChars="200" w:firstLine="480"/>
        <w:rPr>
          <w:rFonts w:asciiTheme="minorEastAsia" w:eastAsiaTheme="minorEastAsia" w:hAnsiTheme="minorEastAsia" w:hint="eastAsia"/>
          <w:sz w:val="24"/>
          <w:szCs w:val="24"/>
        </w:rPr>
      </w:pPr>
    </w:p>
    <w:p w:rsidR="006701AC" w:rsidRDefault="006701AC" w:rsidP="00B23CEB">
      <w:pPr>
        <w:spacing w:after="0" w:line="360" w:lineRule="auto"/>
        <w:ind w:firstLineChars="200" w:firstLine="480"/>
        <w:rPr>
          <w:rFonts w:asciiTheme="minorEastAsia" w:eastAsiaTheme="minorEastAsia" w:hAnsiTheme="minorEastAsia" w:hint="eastAsia"/>
          <w:sz w:val="24"/>
          <w:szCs w:val="24"/>
        </w:rPr>
      </w:pPr>
    </w:p>
    <w:p w:rsidR="006701AC" w:rsidRDefault="006701AC" w:rsidP="00B23CEB">
      <w:pPr>
        <w:spacing w:after="0" w:line="360" w:lineRule="auto"/>
        <w:ind w:firstLineChars="200" w:firstLine="480"/>
        <w:rPr>
          <w:rFonts w:asciiTheme="minorEastAsia" w:eastAsiaTheme="minorEastAsia" w:hAnsiTheme="minorEastAsia" w:hint="eastAsia"/>
          <w:sz w:val="24"/>
          <w:szCs w:val="24"/>
        </w:rPr>
      </w:pPr>
    </w:p>
    <w:p w:rsidR="006701AC" w:rsidRDefault="006701AC" w:rsidP="00B23CEB">
      <w:pPr>
        <w:spacing w:after="0" w:line="360" w:lineRule="auto"/>
        <w:ind w:firstLineChars="200" w:firstLine="480"/>
        <w:rPr>
          <w:rFonts w:asciiTheme="minorEastAsia" w:eastAsiaTheme="minorEastAsia" w:hAnsiTheme="minorEastAsia" w:hint="eastAsia"/>
          <w:sz w:val="24"/>
          <w:szCs w:val="24"/>
        </w:rPr>
      </w:pPr>
    </w:p>
    <w:p w:rsidR="006701AC" w:rsidRDefault="006701AC" w:rsidP="00B23CEB">
      <w:pPr>
        <w:spacing w:after="0" w:line="360" w:lineRule="auto"/>
        <w:ind w:firstLineChars="200" w:firstLine="480"/>
        <w:rPr>
          <w:rFonts w:asciiTheme="minorEastAsia" w:eastAsiaTheme="minorEastAsia" w:hAnsiTheme="minorEastAsia"/>
          <w:sz w:val="24"/>
          <w:szCs w:val="24"/>
        </w:rPr>
      </w:pPr>
    </w:p>
    <w:p w:rsidR="00A116F2" w:rsidRPr="00524E9F" w:rsidRDefault="00A116F2" w:rsidP="000E0875">
      <w:pPr>
        <w:pStyle w:val="2"/>
        <w:jc w:val="center"/>
        <w:rPr>
          <w:rFonts w:asciiTheme="minorEastAsia" w:eastAsiaTheme="minorEastAsia" w:hAnsiTheme="minorEastAsia"/>
          <w:b w:val="0"/>
          <w:sz w:val="28"/>
          <w:szCs w:val="28"/>
        </w:rPr>
      </w:pPr>
      <w:r w:rsidRPr="00524E9F">
        <w:rPr>
          <w:rFonts w:asciiTheme="minorEastAsia" w:eastAsiaTheme="minorEastAsia" w:hAnsiTheme="minorEastAsia"/>
          <w:sz w:val="28"/>
          <w:szCs w:val="28"/>
        </w:rPr>
        <w:lastRenderedPageBreak/>
        <w:t>浙江省财政厅  浙江省地方税务局转发财政部  国家税务总局关于个人所得</w:t>
      </w:r>
      <w:proofErr w:type="gramStart"/>
      <w:r w:rsidRPr="00524E9F">
        <w:rPr>
          <w:rFonts w:asciiTheme="minorEastAsia" w:eastAsiaTheme="minorEastAsia" w:hAnsiTheme="minorEastAsia"/>
          <w:sz w:val="28"/>
          <w:szCs w:val="28"/>
        </w:rPr>
        <w:t>税工资</w:t>
      </w:r>
      <w:proofErr w:type="gramEnd"/>
      <w:r w:rsidRPr="00524E9F">
        <w:rPr>
          <w:rFonts w:asciiTheme="minorEastAsia" w:eastAsiaTheme="minorEastAsia" w:hAnsiTheme="minorEastAsia"/>
          <w:sz w:val="28"/>
          <w:szCs w:val="28"/>
        </w:rPr>
        <w:t>薪金所得减除费用标准有关政策问题的通知</w:t>
      </w:r>
    </w:p>
    <w:p w:rsidR="00A116F2" w:rsidRPr="00B23CEB" w:rsidRDefault="00A116F2" w:rsidP="00524E9F">
      <w:pPr>
        <w:spacing w:after="0" w:line="360" w:lineRule="auto"/>
        <w:jc w:val="center"/>
        <w:rPr>
          <w:rFonts w:asciiTheme="minorEastAsia" w:eastAsiaTheme="minorEastAsia" w:hAnsiTheme="minorEastAsia"/>
          <w:sz w:val="24"/>
          <w:szCs w:val="24"/>
        </w:rPr>
      </w:pPr>
      <w:r w:rsidRPr="00B23CEB">
        <w:rPr>
          <w:rFonts w:asciiTheme="minorEastAsia" w:eastAsiaTheme="minorEastAsia" w:hAnsiTheme="minorEastAsia"/>
          <w:sz w:val="24"/>
          <w:szCs w:val="24"/>
        </w:rPr>
        <w:t>浙地税发〔2005〕121号</w:t>
      </w:r>
    </w:p>
    <w:p w:rsidR="00A116F2" w:rsidRPr="00B23CEB" w:rsidRDefault="00A116F2" w:rsidP="00524E9F">
      <w:pPr>
        <w:spacing w:after="0" w:line="360" w:lineRule="auto"/>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各市、县（市、区）财政局、地方税务局（不发宁波），浙江省地方税务局直属一分局、外税分局、稽查局： </w:t>
      </w:r>
    </w:p>
    <w:p w:rsidR="00A116F2" w:rsidRDefault="00A116F2" w:rsidP="00524E9F">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现将《财政部国家税务总局关于个人所得税工资薪金所得减除费用标准有关政策问题的通知》（财税〔2005〕183号）转发给你们，请认真贯彻执行。</w:t>
      </w:r>
      <w:proofErr w:type="gramStart"/>
      <w:r w:rsidRPr="00B23CEB">
        <w:rPr>
          <w:rFonts w:asciiTheme="minorEastAsia" w:eastAsiaTheme="minorEastAsia" w:hAnsiTheme="minorEastAsia"/>
          <w:sz w:val="24"/>
          <w:szCs w:val="24"/>
        </w:rPr>
        <w:t>《</w:t>
      </w:r>
      <w:proofErr w:type="gramEnd"/>
      <w:r w:rsidRPr="00B23CEB">
        <w:rPr>
          <w:rFonts w:asciiTheme="minorEastAsia" w:eastAsiaTheme="minorEastAsia" w:hAnsiTheme="minorEastAsia"/>
          <w:sz w:val="24"/>
          <w:szCs w:val="24"/>
        </w:rPr>
        <w:t xml:space="preserve">浙江省地方税务局  浙江省财政厅关于个人取得差旅费津贴、误餐补助收入征收个人所得税问题的通知（浙地税发〔2004〕17号）自2006年1月1日起停止执行。 </w:t>
      </w:r>
    </w:p>
    <w:p w:rsidR="00524E9F" w:rsidRPr="00B23CEB" w:rsidRDefault="00524E9F" w:rsidP="00524E9F">
      <w:pPr>
        <w:spacing w:after="0" w:line="360" w:lineRule="auto"/>
        <w:ind w:firstLineChars="200" w:firstLine="480"/>
        <w:rPr>
          <w:rFonts w:asciiTheme="minorEastAsia" w:eastAsiaTheme="minorEastAsia" w:hAnsiTheme="minorEastAsia"/>
          <w:sz w:val="24"/>
          <w:szCs w:val="24"/>
        </w:rPr>
      </w:pPr>
    </w:p>
    <w:p w:rsidR="00A116F2" w:rsidRPr="00B23CEB" w:rsidRDefault="00A116F2" w:rsidP="00524E9F">
      <w:pPr>
        <w:spacing w:after="0" w:line="360" w:lineRule="auto"/>
        <w:ind w:firstLineChars="200" w:firstLine="480"/>
        <w:jc w:val="right"/>
        <w:rPr>
          <w:rFonts w:asciiTheme="minorEastAsia" w:eastAsiaTheme="minorEastAsia" w:hAnsiTheme="minorEastAsia"/>
          <w:sz w:val="24"/>
          <w:szCs w:val="24"/>
        </w:rPr>
      </w:pPr>
      <w:r w:rsidRPr="00B23CEB">
        <w:rPr>
          <w:rFonts w:asciiTheme="minorEastAsia" w:eastAsiaTheme="minorEastAsia" w:hAnsiTheme="minorEastAsia"/>
          <w:sz w:val="24"/>
          <w:szCs w:val="24"/>
        </w:rPr>
        <w:t>二</w:t>
      </w:r>
      <w:r w:rsidRPr="00B23CEB">
        <w:rPr>
          <w:rFonts w:asciiTheme="minorEastAsia" w:eastAsiaTheme="minorEastAsia" w:hAnsiTheme="minorEastAsia" w:cs="Arial"/>
          <w:sz w:val="24"/>
          <w:szCs w:val="24"/>
        </w:rPr>
        <w:t>○○</w:t>
      </w:r>
      <w:r w:rsidRPr="00B23CEB">
        <w:rPr>
          <w:rFonts w:asciiTheme="minorEastAsia" w:eastAsiaTheme="minorEastAsia" w:hAnsiTheme="minorEastAsia"/>
          <w:sz w:val="24"/>
          <w:szCs w:val="24"/>
        </w:rPr>
        <w:t xml:space="preserve">五年十二月三十日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p>
    <w:p w:rsidR="00A116F2" w:rsidRPr="00524E9F" w:rsidRDefault="00A116F2" w:rsidP="00FC0604">
      <w:pPr>
        <w:pStyle w:val="2"/>
        <w:jc w:val="center"/>
        <w:rPr>
          <w:rFonts w:asciiTheme="minorEastAsia" w:eastAsiaTheme="minorEastAsia" w:hAnsiTheme="minorEastAsia"/>
          <w:b w:val="0"/>
          <w:sz w:val="28"/>
          <w:szCs w:val="28"/>
        </w:rPr>
      </w:pPr>
      <w:r w:rsidRPr="00B23CEB">
        <w:rPr>
          <w:rFonts w:asciiTheme="minorEastAsia" w:eastAsiaTheme="minorEastAsia" w:hAnsiTheme="minorEastAsia"/>
          <w:sz w:val="24"/>
          <w:szCs w:val="24"/>
        </w:rPr>
        <w:cr/>
      </w:r>
      <w:r w:rsidRPr="00B23CEB">
        <w:rPr>
          <w:rFonts w:asciiTheme="minorEastAsia" w:eastAsiaTheme="minorEastAsia" w:hAnsiTheme="minorEastAsia"/>
          <w:sz w:val="24"/>
          <w:szCs w:val="24"/>
        </w:rPr>
        <w:br w:type="page"/>
      </w:r>
      <w:r w:rsidRPr="00524E9F">
        <w:rPr>
          <w:rFonts w:asciiTheme="minorEastAsia" w:eastAsiaTheme="minorEastAsia" w:hAnsiTheme="minorEastAsia"/>
          <w:sz w:val="28"/>
          <w:szCs w:val="28"/>
        </w:rPr>
        <w:lastRenderedPageBreak/>
        <w:t>财政部 国家税务总局关于</w:t>
      </w:r>
      <w:r w:rsidRPr="00FC0604">
        <w:rPr>
          <w:sz w:val="28"/>
          <w:szCs w:val="28"/>
        </w:rPr>
        <w:t>个人所得</w:t>
      </w:r>
      <w:proofErr w:type="gramStart"/>
      <w:r w:rsidRPr="00524E9F">
        <w:rPr>
          <w:rFonts w:asciiTheme="minorEastAsia" w:eastAsiaTheme="minorEastAsia" w:hAnsiTheme="minorEastAsia"/>
          <w:sz w:val="28"/>
          <w:szCs w:val="28"/>
        </w:rPr>
        <w:t>税工资</w:t>
      </w:r>
      <w:proofErr w:type="gramEnd"/>
      <w:r w:rsidRPr="00524E9F">
        <w:rPr>
          <w:rFonts w:asciiTheme="minorEastAsia" w:eastAsiaTheme="minorEastAsia" w:hAnsiTheme="minorEastAsia"/>
          <w:sz w:val="28"/>
          <w:szCs w:val="28"/>
        </w:rPr>
        <w:t>薪金所得减除费用标准有</w:t>
      </w:r>
    </w:p>
    <w:p w:rsidR="00A116F2" w:rsidRPr="00524E9F" w:rsidRDefault="00A116F2" w:rsidP="00524E9F">
      <w:pPr>
        <w:spacing w:after="0" w:line="360" w:lineRule="auto"/>
        <w:jc w:val="center"/>
        <w:rPr>
          <w:rFonts w:asciiTheme="minorEastAsia" w:eastAsiaTheme="minorEastAsia" w:hAnsiTheme="minorEastAsia"/>
          <w:b/>
          <w:sz w:val="28"/>
          <w:szCs w:val="28"/>
        </w:rPr>
      </w:pPr>
      <w:r w:rsidRPr="00524E9F">
        <w:rPr>
          <w:rFonts w:asciiTheme="minorEastAsia" w:eastAsiaTheme="minorEastAsia" w:hAnsiTheme="minorEastAsia"/>
          <w:b/>
          <w:sz w:val="28"/>
          <w:szCs w:val="28"/>
        </w:rPr>
        <w:t>关政策问题的通知</w:t>
      </w:r>
    </w:p>
    <w:p w:rsidR="00A116F2" w:rsidRPr="00B23CEB" w:rsidRDefault="00A116F2" w:rsidP="00524E9F">
      <w:pPr>
        <w:spacing w:after="0" w:line="360" w:lineRule="auto"/>
        <w:jc w:val="center"/>
        <w:rPr>
          <w:rFonts w:asciiTheme="minorEastAsia" w:eastAsiaTheme="minorEastAsia" w:hAnsiTheme="minorEastAsia"/>
          <w:sz w:val="24"/>
          <w:szCs w:val="24"/>
        </w:rPr>
      </w:pPr>
      <w:r w:rsidRPr="00B23CEB">
        <w:rPr>
          <w:rFonts w:asciiTheme="minorEastAsia" w:eastAsiaTheme="minorEastAsia" w:hAnsiTheme="minorEastAsia"/>
          <w:sz w:val="24"/>
          <w:szCs w:val="24"/>
        </w:rPr>
        <w:t>财税〔2005〕183号</w:t>
      </w:r>
    </w:p>
    <w:p w:rsidR="00A116F2" w:rsidRPr="00B23CEB" w:rsidRDefault="00A116F2" w:rsidP="00524E9F">
      <w:pPr>
        <w:spacing w:after="0" w:line="360" w:lineRule="auto"/>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各省、自治区、直辖市、计划单列市财政厅(局)、地方税务局，新疆生产建设兵团财务局： </w:t>
      </w:r>
    </w:p>
    <w:p w:rsidR="00A116F2" w:rsidRPr="00B23CEB" w:rsidRDefault="00A116F2" w:rsidP="00524E9F">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根据第十届全国人大常委会第十八次会议审议通过的《中华人民共和国个人所得税法(修正案)》，现就个人所得税工资、薪金所得减除费用标准的有关问题通知如下： </w:t>
      </w:r>
    </w:p>
    <w:p w:rsidR="00A116F2" w:rsidRPr="00B23CEB" w:rsidRDefault="00A116F2" w:rsidP="00524E9F">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一、根据新修订的个人所得税法有关规定，纳税人自2006年1月1日起就其实际取得的工资、薪金所得，按照1600元／月的减除费用标准，计算缴纳个人所得税。 </w:t>
      </w:r>
    </w:p>
    <w:p w:rsidR="00A116F2" w:rsidRPr="00B23CEB" w:rsidRDefault="00A116F2" w:rsidP="00524E9F">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二、工资、薪金所得应根据国家税法统一规定，严格按照“工资、薪金、奖金、年终加薪、劳动分红、津贴、补贴以及与任职或者受雇有关的其他所得”的政策口径掌握执行。除国家统一规定减免税项目外，工资、薪金所得范围内的全部收入，应一律照章征税。 </w:t>
      </w:r>
    </w:p>
    <w:p w:rsidR="00A116F2" w:rsidRPr="00B23CEB" w:rsidRDefault="00A116F2" w:rsidP="00524E9F">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三、工资、薪金所得减除费用标准提高后，各地一律按统一标准执行，任何地方不得擅自规定免税项目或变相提高减除费用标准。对擅自提高减除费用标准的地方，将相应减少财政转移支付数额或者调减所在地区所得税基数。对地方擅自提高的减除费用标准，税务机关不得执行，并向上级税务机关报告。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请遵照执行。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w:t>
      </w:r>
    </w:p>
    <w:p w:rsidR="00A116F2" w:rsidRPr="00B23CEB" w:rsidRDefault="00A116F2" w:rsidP="00524E9F">
      <w:pPr>
        <w:spacing w:after="0" w:line="360" w:lineRule="auto"/>
        <w:ind w:firstLineChars="200" w:firstLine="480"/>
        <w:jc w:val="right"/>
        <w:rPr>
          <w:rFonts w:asciiTheme="minorEastAsia" w:eastAsiaTheme="minorEastAsia" w:hAnsiTheme="minorEastAsia"/>
          <w:sz w:val="24"/>
          <w:szCs w:val="24"/>
        </w:rPr>
      </w:pPr>
      <w:r w:rsidRPr="00B23CEB">
        <w:rPr>
          <w:rFonts w:asciiTheme="minorEastAsia" w:eastAsiaTheme="minorEastAsia" w:hAnsiTheme="minorEastAsia"/>
          <w:sz w:val="24"/>
          <w:szCs w:val="24"/>
        </w:rPr>
        <w:t>二</w:t>
      </w:r>
      <w:r w:rsidRPr="00B23CEB">
        <w:rPr>
          <w:rFonts w:asciiTheme="minorEastAsia" w:eastAsiaTheme="minorEastAsia" w:hAnsiTheme="minorEastAsia" w:cs="Arial"/>
          <w:sz w:val="24"/>
          <w:szCs w:val="24"/>
        </w:rPr>
        <w:t>○○</w:t>
      </w:r>
      <w:r w:rsidRPr="00B23CEB">
        <w:rPr>
          <w:rFonts w:asciiTheme="minorEastAsia" w:eastAsiaTheme="minorEastAsia" w:hAnsiTheme="minorEastAsia"/>
          <w:sz w:val="24"/>
          <w:szCs w:val="24"/>
        </w:rPr>
        <w:t xml:space="preserve">五年十二月十九日 </w:t>
      </w:r>
    </w:p>
    <w:p w:rsidR="002A2BB1" w:rsidRDefault="002A2BB1" w:rsidP="00B23CEB">
      <w:pPr>
        <w:spacing w:after="0" w:line="360" w:lineRule="auto"/>
        <w:ind w:firstLineChars="200" w:firstLine="480"/>
        <w:rPr>
          <w:rFonts w:asciiTheme="minorEastAsia" w:eastAsiaTheme="minorEastAsia" w:hAnsiTheme="minorEastAsia"/>
          <w:sz w:val="24"/>
          <w:szCs w:val="24"/>
        </w:rPr>
      </w:pPr>
    </w:p>
    <w:p w:rsidR="002A2BB1" w:rsidRDefault="002A2BB1" w:rsidP="00B23CEB">
      <w:pPr>
        <w:spacing w:after="0" w:line="360" w:lineRule="auto"/>
        <w:ind w:firstLineChars="200" w:firstLine="480"/>
        <w:rPr>
          <w:rFonts w:asciiTheme="minorEastAsia" w:eastAsiaTheme="minorEastAsia" w:hAnsiTheme="minorEastAsia"/>
          <w:sz w:val="24"/>
          <w:szCs w:val="24"/>
        </w:rPr>
      </w:pPr>
    </w:p>
    <w:p w:rsidR="002A2BB1" w:rsidRDefault="002A2BB1" w:rsidP="00B23CEB">
      <w:pPr>
        <w:spacing w:after="0" w:line="360" w:lineRule="auto"/>
        <w:ind w:firstLineChars="200" w:firstLine="480"/>
        <w:rPr>
          <w:rFonts w:asciiTheme="minorEastAsia" w:eastAsiaTheme="minorEastAsia" w:hAnsiTheme="minorEastAsia"/>
          <w:sz w:val="24"/>
          <w:szCs w:val="24"/>
        </w:rPr>
      </w:pPr>
    </w:p>
    <w:p w:rsidR="002A2BB1" w:rsidRDefault="002A2BB1" w:rsidP="00B23CEB">
      <w:pPr>
        <w:spacing w:after="0" w:line="360" w:lineRule="auto"/>
        <w:ind w:firstLineChars="200" w:firstLine="480"/>
        <w:rPr>
          <w:rFonts w:asciiTheme="minorEastAsia" w:eastAsiaTheme="minorEastAsia" w:hAnsiTheme="minorEastAsia"/>
          <w:sz w:val="24"/>
          <w:szCs w:val="24"/>
        </w:rPr>
      </w:pPr>
    </w:p>
    <w:p w:rsidR="002A2BB1" w:rsidRDefault="002A2BB1" w:rsidP="00B23CEB">
      <w:pPr>
        <w:spacing w:after="0" w:line="360" w:lineRule="auto"/>
        <w:ind w:firstLineChars="200" w:firstLine="480"/>
        <w:rPr>
          <w:rFonts w:asciiTheme="minorEastAsia" w:eastAsiaTheme="minorEastAsia" w:hAnsiTheme="minorEastAsia"/>
          <w:sz w:val="24"/>
          <w:szCs w:val="24"/>
        </w:rPr>
      </w:pPr>
    </w:p>
    <w:p w:rsidR="002A2BB1" w:rsidRDefault="002A2BB1" w:rsidP="00B23CEB">
      <w:pPr>
        <w:spacing w:after="0" w:line="360" w:lineRule="auto"/>
        <w:ind w:firstLineChars="200" w:firstLine="480"/>
        <w:rPr>
          <w:rFonts w:asciiTheme="minorEastAsia" w:eastAsiaTheme="minorEastAsia" w:hAnsiTheme="minorEastAsia"/>
          <w:sz w:val="24"/>
          <w:szCs w:val="24"/>
        </w:rPr>
      </w:pPr>
    </w:p>
    <w:p w:rsidR="002A2BB1" w:rsidRDefault="002A2BB1" w:rsidP="00B23CEB">
      <w:pPr>
        <w:spacing w:after="0" w:line="360" w:lineRule="auto"/>
        <w:ind w:firstLineChars="200" w:firstLine="480"/>
        <w:rPr>
          <w:rFonts w:asciiTheme="minorEastAsia" w:eastAsiaTheme="minorEastAsia" w:hAnsiTheme="minorEastAsia"/>
          <w:sz w:val="24"/>
          <w:szCs w:val="24"/>
        </w:rPr>
      </w:pPr>
    </w:p>
    <w:p w:rsidR="00A116F2" w:rsidRPr="002A2BB1" w:rsidRDefault="00A116F2" w:rsidP="00FC0604">
      <w:pPr>
        <w:pStyle w:val="2"/>
        <w:jc w:val="center"/>
        <w:rPr>
          <w:rFonts w:asciiTheme="minorEastAsia" w:eastAsiaTheme="minorEastAsia" w:hAnsiTheme="minorEastAsia"/>
          <w:b w:val="0"/>
          <w:sz w:val="28"/>
          <w:szCs w:val="28"/>
        </w:rPr>
      </w:pPr>
      <w:bookmarkStart w:id="0" w:name="_GoBack"/>
      <w:bookmarkEnd w:id="0"/>
      <w:r w:rsidRPr="002A2BB1">
        <w:rPr>
          <w:rFonts w:asciiTheme="minorEastAsia" w:eastAsiaTheme="minorEastAsia" w:hAnsiTheme="minorEastAsia"/>
          <w:sz w:val="28"/>
          <w:szCs w:val="28"/>
        </w:rPr>
        <w:lastRenderedPageBreak/>
        <w:t>关于贯彻落实《企业损失所得税前扣除管理办法》的通知</w:t>
      </w:r>
    </w:p>
    <w:p w:rsidR="00A116F2" w:rsidRPr="00B23CEB" w:rsidRDefault="00A116F2" w:rsidP="002A2BB1">
      <w:pPr>
        <w:spacing w:after="0" w:line="360" w:lineRule="auto"/>
        <w:jc w:val="center"/>
        <w:rPr>
          <w:rFonts w:asciiTheme="minorEastAsia" w:eastAsiaTheme="minorEastAsia" w:hAnsiTheme="minorEastAsia"/>
          <w:sz w:val="24"/>
          <w:szCs w:val="24"/>
        </w:rPr>
      </w:pPr>
      <w:r w:rsidRPr="00B23CEB">
        <w:rPr>
          <w:rFonts w:asciiTheme="minorEastAsia" w:eastAsiaTheme="minorEastAsia" w:hAnsiTheme="minorEastAsia"/>
          <w:sz w:val="24"/>
          <w:szCs w:val="24"/>
        </w:rPr>
        <w:t>杭地税二〔2005〕247号</w:t>
      </w:r>
    </w:p>
    <w:p w:rsidR="00A116F2" w:rsidRPr="00B23CEB" w:rsidRDefault="00A116F2" w:rsidP="002A2BB1">
      <w:pPr>
        <w:spacing w:after="0" w:line="360" w:lineRule="auto"/>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各县（市）地方税务局、杭州萧山、余杭地方税务局、市地方税务局各税务分局、直属分局、稽查一局、稽查二局： </w:t>
      </w:r>
    </w:p>
    <w:p w:rsidR="00A116F2" w:rsidRPr="00B23CEB" w:rsidRDefault="00A116F2" w:rsidP="002A2BB1">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根据《浙江省地方税务局关于贯彻落实国家税务总局第 13 号令有关问题的通知》（浙地税发〔2005〕106 号）的精神，现将国家税务总局第13号令《企业财产损失所得税前扣除管理办法》（以下简称《办法》）和《浙江省地方税务局关于贯彻落实国家税务总局第13号令有关问题的通知》（以下简称《通知》）转发给你们，并结合我市实际，作如下补充规定，请一并贯彻执行。 </w:t>
      </w:r>
    </w:p>
    <w:p w:rsidR="00A116F2" w:rsidRPr="00B23CEB" w:rsidRDefault="00A116F2" w:rsidP="002A2BB1">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一、各局应组织税务干部，进行一次业务培训，全面学习《办法》和《通知》精神，采取有效措施，加大对纳税人的宣传、辅导力度，使纳税人了解财产损失所得税前扣除的有关政策规定，并将财产损失所得税前扣除申请审批的程序、时限、报送资料要求等事项布置落实到位。 </w:t>
      </w:r>
    </w:p>
    <w:p w:rsidR="00A116F2" w:rsidRPr="00B23CEB" w:rsidRDefault="00A116F2" w:rsidP="002A2BB1">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二、企业应严格按照《办法》的分类原则，将财产损失分为自行申报扣除和报税务机关审批扣除两类。企业在经营管理活动中因销售、转让、变卖资产而发生的正常财产损失，各项存货发生的正常损耗以及固定资产达到或超过使用年限而正常报废清理发生的财产损失，应在损失实际发生当期自行申报扣除。 </w:t>
      </w:r>
    </w:p>
    <w:p w:rsidR="00A116F2" w:rsidRPr="00B23CEB" w:rsidRDefault="00A116F2" w:rsidP="002A2BB1">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三、企业需报经税务机关审批的财产损失，应填制全市统一的企业财产损失所得税前扣除申请审批表及明细表（见附件一）。 </w:t>
      </w:r>
    </w:p>
    <w:p w:rsidR="00A116F2" w:rsidRPr="00B23CEB" w:rsidRDefault="00A116F2" w:rsidP="002A2BB1">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四、根据《通知》第九条规定，对《办法》中第十八条第（四）款所称“数额较大、影响较大的资产损失项目”，第二十五条第（一）款所称“单项或批量金额较小的存货”、第二十五条第（二）款所称“单项或批量金额较大的存货”，第二十八条第（二）款所称“单项或批量金额较大的固定资产”，第二十九条第（二）款所称“单项或批量金额较大的固定资产”和第三十二条第（三）款所称“单项数额较大”的量化标准，杭州市区统一按下列标准执行。 同时符合下列两点条件的，可视为“金额较大”，反之则视为“金额较小”： </w:t>
      </w:r>
    </w:p>
    <w:p w:rsidR="00A116F2" w:rsidRPr="00B23CEB" w:rsidRDefault="00A116F2" w:rsidP="002A2BB1">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（一）当期审批资产损失项目税前扣除金额超过 100 万元以上的； </w:t>
      </w:r>
    </w:p>
    <w:p w:rsidR="00A116F2" w:rsidRPr="00B23CEB" w:rsidRDefault="00A116F2" w:rsidP="002A2BB1">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（二）当期审批资产损失项目税前扣除金额占当期应纳税所得额50%以上的。萧山、余杭及各县（市）的上述量化标准由各局结合当地实际情况自定。 </w:t>
      </w:r>
    </w:p>
    <w:p w:rsidR="00A116F2" w:rsidRPr="00B23CEB" w:rsidRDefault="00A116F2" w:rsidP="002A2BB1">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lastRenderedPageBreak/>
        <w:t>五、根据《通知》第二条规定，企业发生的</w:t>
      </w:r>
      <w:proofErr w:type="gramStart"/>
      <w:r w:rsidRPr="00B23CEB">
        <w:rPr>
          <w:rFonts w:asciiTheme="minorEastAsia" w:eastAsiaTheme="minorEastAsia" w:hAnsiTheme="minorEastAsia"/>
          <w:sz w:val="24"/>
          <w:szCs w:val="24"/>
        </w:rPr>
        <w:t>各项需</w:t>
      </w:r>
      <w:proofErr w:type="gramEnd"/>
      <w:r w:rsidRPr="00B23CEB">
        <w:rPr>
          <w:rFonts w:asciiTheme="minorEastAsia" w:eastAsiaTheme="minorEastAsia" w:hAnsiTheme="minorEastAsia"/>
          <w:sz w:val="24"/>
          <w:szCs w:val="24"/>
        </w:rPr>
        <w:t xml:space="preserve">审批的财产损失应在次年1月15日前报税务机关审批，非因计算错误或其他客观原因，逾期不予受理。 考虑到财产损失所得税前扣除审批工作量大、情况复杂、审核资料多的情况，企业的财产损失所得税前扣除申请，既可在年度终了后在规定的期限内集中一次报税务机关审批，也可采取即报即批的办法。 为保证政策的有效衔接，对2005年12月31日前发生的需报批的财产损失，企业应于2006年2月15日前提出申请，确因特殊情况，不能及时上报的，经主管税务机关批准可延期，但最迟不得超过2006年4月30日。 </w:t>
      </w:r>
    </w:p>
    <w:p w:rsidR="00A116F2" w:rsidRPr="00B23CEB" w:rsidRDefault="00A116F2" w:rsidP="002A2BB1">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六、企业因杭州市政府规划搬迁、征用等发生的财产损失，杭州市局各税务分局应在受理之日起十五个工作日内提出审核意见上报杭州市局，市局在十五个工作日内提出审核报告上报省地方税务局审批；其余因政府规划搬迁、征用等发生的财产损失，桐庐、建德、淳安局和杭州市局各税务分局应在受理之日起十五个工作日内提出审核意见上报市局，市局在十五个工作日内做出审批决定。萧山、余杭、富阳、临安局的审批权限按照《通知》第三条规定执行。 </w:t>
      </w:r>
    </w:p>
    <w:p w:rsidR="00A116F2" w:rsidRPr="00B23CEB" w:rsidRDefault="00A116F2" w:rsidP="002A2BB1">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七、除因政府搬迁、征用等发生的财产损失外，企业财产损失所得税前扣除审批的权限仍按《关于调整和下放企业所得税涉税事项审批权限的通知》（杭地税二〔2004〕327号）执行。 </w:t>
      </w:r>
    </w:p>
    <w:p w:rsidR="00A116F2" w:rsidRPr="00B23CEB" w:rsidRDefault="00A116F2" w:rsidP="002A2BB1">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八、纳税人在企业财产损失所得税前扣除申报、审核、审批过程中，有义务提供税务部门要求提供的有关资料，并对提供的数据和资料的真实性承担法律责任。同时，对需报经税务机关审批所得税前扣除的财产损失，必须附送具有法定资质的社会中介机构出具的</w:t>
      </w:r>
      <w:proofErr w:type="gramStart"/>
      <w:r w:rsidRPr="00B23CEB">
        <w:rPr>
          <w:rFonts w:asciiTheme="minorEastAsia" w:eastAsiaTheme="minorEastAsia" w:hAnsiTheme="minorEastAsia"/>
          <w:sz w:val="24"/>
          <w:szCs w:val="24"/>
        </w:rPr>
        <w:t>鉴证</w:t>
      </w:r>
      <w:proofErr w:type="gramEnd"/>
      <w:r w:rsidRPr="00B23CEB">
        <w:rPr>
          <w:rFonts w:asciiTheme="minorEastAsia" w:eastAsiaTheme="minorEastAsia" w:hAnsiTheme="minorEastAsia"/>
          <w:sz w:val="24"/>
          <w:szCs w:val="24"/>
        </w:rPr>
        <w:t xml:space="preserve">报告。 </w:t>
      </w:r>
    </w:p>
    <w:p w:rsidR="00A116F2" w:rsidRPr="00B23CEB" w:rsidRDefault="00A116F2" w:rsidP="002A2BB1">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九、各级审批税务机关应建立财产损失所得税前</w:t>
      </w:r>
      <w:proofErr w:type="gramStart"/>
      <w:r w:rsidRPr="00B23CEB">
        <w:rPr>
          <w:rFonts w:asciiTheme="minorEastAsia" w:eastAsiaTheme="minorEastAsia" w:hAnsiTheme="minorEastAsia"/>
          <w:sz w:val="24"/>
          <w:szCs w:val="24"/>
        </w:rPr>
        <w:t>扣除户</w:t>
      </w:r>
      <w:proofErr w:type="gramEnd"/>
      <w:r w:rsidRPr="00B23CEB">
        <w:rPr>
          <w:rFonts w:asciiTheme="minorEastAsia" w:eastAsiaTheme="minorEastAsia" w:hAnsiTheme="minorEastAsia"/>
          <w:sz w:val="24"/>
          <w:szCs w:val="24"/>
        </w:rPr>
        <w:t xml:space="preserve">管档案，详细记录财产损失所得税前扣除审批时间、类别、数量、金额等内容。年度审批工作结束后，应及时对财产损失项目情况进行统计汇总，填制《企业财产损失所得税前扣除统计表》（见附件二），汇总后与《企业所得税汇算清缴报表》一起上报市局。 </w:t>
      </w:r>
    </w:p>
    <w:p w:rsidR="00A116F2" w:rsidRPr="00B23CEB" w:rsidRDefault="00A116F2" w:rsidP="002A2BB1">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十、市局《关于印发〈企业资产损失核销审批暂行办法〉的通知》（杭地税政〔1998〕字075号）和《关于加强企业财产损失税前扣除审核审批管理工作的通知》（杭地税政〔2001〕字 230 号）同时停止执行。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附件： 1.企业财产损失所得税前扣除申请审批表及明细表 </w:t>
      </w:r>
    </w:p>
    <w:p w:rsidR="00A116F2" w:rsidRPr="00B23CEB" w:rsidRDefault="00A116F2" w:rsidP="00B23CEB">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2.《企业财产损失所得税前扣除统计表》 </w:t>
      </w:r>
    </w:p>
    <w:p w:rsidR="00A116F2" w:rsidRPr="00B23CEB" w:rsidRDefault="00A116F2" w:rsidP="002A2BB1">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lastRenderedPageBreak/>
        <w:t xml:space="preserve">        3.《浙江省地方税务局关于贯彻落实国家税务总局第13号令有关问题的通知》 </w:t>
      </w:r>
    </w:p>
    <w:p w:rsidR="00A116F2" w:rsidRDefault="00A116F2" w:rsidP="00DD7C31">
      <w:pPr>
        <w:spacing w:after="0" w:line="360" w:lineRule="auto"/>
        <w:ind w:firstLineChars="200" w:firstLine="480"/>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4.《企业财产损失所得税前扣除管理办法》（国家税务总局第13号令） </w:t>
      </w:r>
    </w:p>
    <w:p w:rsidR="00DD7C31" w:rsidRPr="00B23CEB" w:rsidRDefault="00DD7C31" w:rsidP="00DD7C31">
      <w:pPr>
        <w:spacing w:after="0" w:line="360" w:lineRule="auto"/>
        <w:ind w:firstLineChars="200" w:firstLine="480"/>
        <w:rPr>
          <w:rFonts w:asciiTheme="minorEastAsia" w:eastAsiaTheme="minorEastAsia" w:hAnsiTheme="minorEastAsia"/>
          <w:sz w:val="24"/>
          <w:szCs w:val="24"/>
        </w:rPr>
      </w:pPr>
    </w:p>
    <w:p w:rsidR="004358AB" w:rsidRPr="00B23CEB" w:rsidRDefault="00A116F2" w:rsidP="00DD7C31">
      <w:pPr>
        <w:spacing w:after="0" w:line="360" w:lineRule="auto"/>
        <w:ind w:firstLineChars="200" w:firstLine="480"/>
        <w:jc w:val="right"/>
        <w:rPr>
          <w:rFonts w:asciiTheme="minorEastAsia" w:eastAsiaTheme="minorEastAsia" w:hAnsiTheme="minorEastAsia"/>
          <w:sz w:val="24"/>
          <w:szCs w:val="24"/>
        </w:rPr>
      </w:pPr>
      <w:r w:rsidRPr="00B23CEB">
        <w:rPr>
          <w:rFonts w:asciiTheme="minorEastAsia" w:eastAsiaTheme="minorEastAsia" w:hAnsiTheme="minorEastAsia"/>
          <w:sz w:val="24"/>
          <w:szCs w:val="24"/>
        </w:rPr>
        <w:t xml:space="preserve">                                 二</w:t>
      </w:r>
      <w:r w:rsidRPr="00B23CEB">
        <w:rPr>
          <w:rFonts w:asciiTheme="minorEastAsia" w:eastAsiaTheme="minorEastAsia" w:hAnsiTheme="minorEastAsia" w:cs="Arial"/>
          <w:sz w:val="24"/>
          <w:szCs w:val="24"/>
        </w:rPr>
        <w:t>○○</w:t>
      </w:r>
      <w:r w:rsidRPr="00B23CEB">
        <w:rPr>
          <w:rFonts w:asciiTheme="minorEastAsia" w:eastAsiaTheme="minorEastAsia" w:hAnsiTheme="minorEastAsia"/>
          <w:sz w:val="24"/>
          <w:szCs w:val="24"/>
        </w:rPr>
        <w:t>六年一月五日</w:t>
      </w:r>
    </w:p>
    <w:sectPr w:rsidR="004358AB" w:rsidRPr="00B23CEB" w:rsidSect="00B23CEB">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6F7" w:rsidRDefault="000746F7" w:rsidP="00920DD3">
      <w:pPr>
        <w:spacing w:after="0"/>
      </w:pPr>
      <w:r>
        <w:separator/>
      </w:r>
    </w:p>
  </w:endnote>
  <w:endnote w:type="continuationSeparator" w:id="0">
    <w:p w:rsidR="000746F7" w:rsidRDefault="000746F7" w:rsidP="00920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altName w:val="SimSun-ExtB"/>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6F7" w:rsidRDefault="000746F7" w:rsidP="00920DD3">
      <w:pPr>
        <w:spacing w:after="0"/>
      </w:pPr>
      <w:r>
        <w:separator/>
      </w:r>
    </w:p>
  </w:footnote>
  <w:footnote w:type="continuationSeparator" w:id="0">
    <w:p w:rsidR="000746F7" w:rsidRDefault="000746F7" w:rsidP="00920DD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20AB4"/>
    <w:multiLevelType w:val="multilevel"/>
    <w:tmpl w:val="04090029"/>
    <w:lvl w:ilvl="0">
      <w:start w:val="1"/>
      <w:numFmt w:val="chineseCountingThousand"/>
      <w:pStyle w:val="1"/>
      <w:suff w:val="nothing"/>
      <w:lvlText w:val="第%1章"/>
      <w:lvlJc w:val="left"/>
      <w:pPr>
        <w:ind w:left="1135"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746F7"/>
    <w:rsid w:val="000A5873"/>
    <w:rsid w:val="000E0875"/>
    <w:rsid w:val="002A2BB1"/>
    <w:rsid w:val="00323B43"/>
    <w:rsid w:val="003527B0"/>
    <w:rsid w:val="003A7194"/>
    <w:rsid w:val="003D37D8"/>
    <w:rsid w:val="003D67FE"/>
    <w:rsid w:val="003D7747"/>
    <w:rsid w:val="00426133"/>
    <w:rsid w:val="00435434"/>
    <w:rsid w:val="004358AB"/>
    <w:rsid w:val="004E6275"/>
    <w:rsid w:val="00524E9F"/>
    <w:rsid w:val="006701AC"/>
    <w:rsid w:val="006A7D17"/>
    <w:rsid w:val="006D259E"/>
    <w:rsid w:val="00735ED2"/>
    <w:rsid w:val="00743FAD"/>
    <w:rsid w:val="00856D53"/>
    <w:rsid w:val="008B7726"/>
    <w:rsid w:val="0090545D"/>
    <w:rsid w:val="00920DD3"/>
    <w:rsid w:val="00930DC4"/>
    <w:rsid w:val="009333B4"/>
    <w:rsid w:val="009417FA"/>
    <w:rsid w:val="009E6655"/>
    <w:rsid w:val="00A116F2"/>
    <w:rsid w:val="00A764E7"/>
    <w:rsid w:val="00B23CEB"/>
    <w:rsid w:val="00B61C92"/>
    <w:rsid w:val="00C45CDE"/>
    <w:rsid w:val="00C51434"/>
    <w:rsid w:val="00D31D50"/>
    <w:rsid w:val="00DD7C31"/>
    <w:rsid w:val="00F27E8F"/>
    <w:rsid w:val="00FC0604"/>
    <w:rsid w:val="00FE76A8"/>
    <w:rsid w:val="00FF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3A7194"/>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A7194"/>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A7194"/>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A7194"/>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3A7194"/>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3A7194"/>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3A7194"/>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3A7194"/>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3A7194"/>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0DD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20DD3"/>
    <w:rPr>
      <w:rFonts w:ascii="Tahoma" w:hAnsi="Tahoma"/>
      <w:sz w:val="18"/>
      <w:szCs w:val="18"/>
    </w:rPr>
  </w:style>
  <w:style w:type="paragraph" w:styleId="a4">
    <w:name w:val="footer"/>
    <w:basedOn w:val="a"/>
    <w:link w:val="Char0"/>
    <w:uiPriority w:val="99"/>
    <w:semiHidden/>
    <w:unhideWhenUsed/>
    <w:rsid w:val="00920DD3"/>
    <w:pPr>
      <w:tabs>
        <w:tab w:val="center" w:pos="4153"/>
        <w:tab w:val="right" w:pos="8306"/>
      </w:tabs>
    </w:pPr>
    <w:rPr>
      <w:sz w:val="18"/>
      <w:szCs w:val="18"/>
    </w:rPr>
  </w:style>
  <w:style w:type="character" w:customStyle="1" w:styleId="Char0">
    <w:name w:val="页脚 Char"/>
    <w:basedOn w:val="a0"/>
    <w:link w:val="a4"/>
    <w:uiPriority w:val="99"/>
    <w:semiHidden/>
    <w:rsid w:val="00920DD3"/>
    <w:rPr>
      <w:rFonts w:ascii="Tahoma" w:hAnsi="Tahoma"/>
      <w:sz w:val="18"/>
      <w:szCs w:val="18"/>
    </w:rPr>
  </w:style>
  <w:style w:type="paragraph" w:styleId="a5">
    <w:name w:val="Normal (Web)"/>
    <w:basedOn w:val="a"/>
    <w:uiPriority w:val="99"/>
    <w:semiHidden/>
    <w:unhideWhenUsed/>
    <w:rsid w:val="00920DD3"/>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920DD3"/>
    <w:rPr>
      <w:b/>
      <w:bCs/>
    </w:rPr>
  </w:style>
  <w:style w:type="character" w:styleId="a7">
    <w:name w:val="Hyperlink"/>
    <w:basedOn w:val="a0"/>
    <w:uiPriority w:val="99"/>
    <w:semiHidden/>
    <w:unhideWhenUsed/>
    <w:rsid w:val="00920DD3"/>
    <w:rPr>
      <w:color w:val="0000FF"/>
      <w:u w:val="single"/>
    </w:rPr>
  </w:style>
  <w:style w:type="paragraph" w:styleId="a8">
    <w:name w:val="Date"/>
    <w:basedOn w:val="a"/>
    <w:next w:val="a"/>
    <w:link w:val="Char1"/>
    <w:uiPriority w:val="99"/>
    <w:semiHidden/>
    <w:unhideWhenUsed/>
    <w:rsid w:val="00920DD3"/>
    <w:pPr>
      <w:ind w:leftChars="2500" w:left="100"/>
    </w:pPr>
  </w:style>
  <w:style w:type="character" w:customStyle="1" w:styleId="Char1">
    <w:name w:val="日期 Char"/>
    <w:basedOn w:val="a0"/>
    <w:link w:val="a8"/>
    <w:uiPriority w:val="99"/>
    <w:semiHidden/>
    <w:rsid w:val="00920DD3"/>
    <w:rPr>
      <w:rFonts w:ascii="Tahoma" w:hAnsi="Tahoma"/>
    </w:rPr>
  </w:style>
  <w:style w:type="paragraph" w:customStyle="1" w:styleId="CharCharCharCharCharCharCharCharCharCharChar1Char">
    <w:name w:val="Char Char Char Char Char Char Char Char Char Char Char1 Char"/>
    <w:basedOn w:val="a"/>
    <w:autoRedefine/>
    <w:rsid w:val="00920DD3"/>
    <w:pPr>
      <w:adjustRightInd/>
      <w:snapToGrid/>
      <w:spacing w:after="160" w:line="240" w:lineRule="exact"/>
    </w:pPr>
    <w:rPr>
      <w:rFonts w:ascii="Verdana" w:eastAsia="仿宋_GB2312" w:hAnsi="Verdana" w:cs="Times New Roman"/>
      <w:sz w:val="24"/>
      <w:szCs w:val="20"/>
      <w:lang w:eastAsia="en-US"/>
    </w:rPr>
  </w:style>
  <w:style w:type="paragraph" w:customStyle="1" w:styleId="Default">
    <w:name w:val="Default"/>
    <w:rsid w:val="00920DD3"/>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a9">
    <w:name w:val="Document Map"/>
    <w:basedOn w:val="a"/>
    <w:link w:val="Char2"/>
    <w:uiPriority w:val="99"/>
    <w:semiHidden/>
    <w:unhideWhenUsed/>
    <w:rsid w:val="00920DD3"/>
    <w:rPr>
      <w:rFonts w:ascii="宋体" w:eastAsia="宋体"/>
      <w:sz w:val="18"/>
      <w:szCs w:val="18"/>
    </w:rPr>
  </w:style>
  <w:style w:type="character" w:customStyle="1" w:styleId="Char2">
    <w:name w:val="文档结构图 Char"/>
    <w:basedOn w:val="a0"/>
    <w:link w:val="a9"/>
    <w:uiPriority w:val="99"/>
    <w:semiHidden/>
    <w:rsid w:val="00920DD3"/>
    <w:rPr>
      <w:rFonts w:ascii="宋体" w:eastAsia="宋体" w:hAnsi="Tahoma"/>
      <w:sz w:val="18"/>
      <w:szCs w:val="18"/>
    </w:rPr>
  </w:style>
  <w:style w:type="character" w:customStyle="1" w:styleId="1Char">
    <w:name w:val="标题 1 Char"/>
    <w:basedOn w:val="a0"/>
    <w:link w:val="1"/>
    <w:uiPriority w:val="9"/>
    <w:rsid w:val="003A7194"/>
    <w:rPr>
      <w:rFonts w:ascii="Tahoma" w:hAnsi="Tahoma"/>
      <w:b/>
      <w:bCs/>
      <w:kern w:val="44"/>
      <w:sz w:val="44"/>
      <w:szCs w:val="44"/>
    </w:rPr>
  </w:style>
  <w:style w:type="character" w:customStyle="1" w:styleId="2Char">
    <w:name w:val="标题 2 Char"/>
    <w:basedOn w:val="a0"/>
    <w:link w:val="2"/>
    <w:uiPriority w:val="9"/>
    <w:rsid w:val="003A7194"/>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A7194"/>
    <w:rPr>
      <w:rFonts w:ascii="Tahoma" w:hAnsi="Tahoma"/>
      <w:b/>
      <w:bCs/>
      <w:sz w:val="32"/>
      <w:szCs w:val="32"/>
    </w:rPr>
  </w:style>
  <w:style w:type="character" w:customStyle="1" w:styleId="4Char">
    <w:name w:val="标题 4 Char"/>
    <w:basedOn w:val="a0"/>
    <w:link w:val="4"/>
    <w:uiPriority w:val="9"/>
    <w:semiHidden/>
    <w:rsid w:val="003A7194"/>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3A7194"/>
    <w:rPr>
      <w:rFonts w:ascii="Tahoma" w:hAnsi="Tahoma"/>
      <w:b/>
      <w:bCs/>
      <w:sz w:val="28"/>
      <w:szCs w:val="28"/>
    </w:rPr>
  </w:style>
  <w:style w:type="character" w:customStyle="1" w:styleId="6Char">
    <w:name w:val="标题 6 Char"/>
    <w:basedOn w:val="a0"/>
    <w:link w:val="6"/>
    <w:uiPriority w:val="9"/>
    <w:semiHidden/>
    <w:rsid w:val="003A7194"/>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3A7194"/>
    <w:rPr>
      <w:rFonts w:ascii="Tahoma" w:hAnsi="Tahoma"/>
      <w:b/>
      <w:bCs/>
      <w:sz w:val="24"/>
      <w:szCs w:val="24"/>
    </w:rPr>
  </w:style>
  <w:style w:type="character" w:customStyle="1" w:styleId="8Char">
    <w:name w:val="标题 8 Char"/>
    <w:basedOn w:val="a0"/>
    <w:link w:val="8"/>
    <w:uiPriority w:val="9"/>
    <w:semiHidden/>
    <w:rsid w:val="003A7194"/>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3A7194"/>
    <w:rPr>
      <w:rFonts w:asciiTheme="majorHAnsi" w:eastAsiaTheme="majorEastAsia" w:hAnsiTheme="majorHAnsi" w:cstheme="majorBidi"/>
      <w:sz w:val="21"/>
      <w:szCs w:val="21"/>
    </w:rPr>
  </w:style>
  <w:style w:type="paragraph" w:styleId="aa">
    <w:name w:val="Balloon Text"/>
    <w:basedOn w:val="a"/>
    <w:link w:val="Char3"/>
    <w:uiPriority w:val="99"/>
    <w:semiHidden/>
    <w:unhideWhenUsed/>
    <w:rsid w:val="00735ED2"/>
    <w:pPr>
      <w:spacing w:after="0"/>
    </w:pPr>
    <w:rPr>
      <w:sz w:val="18"/>
      <w:szCs w:val="18"/>
    </w:rPr>
  </w:style>
  <w:style w:type="character" w:customStyle="1" w:styleId="Char3">
    <w:name w:val="批注框文本 Char"/>
    <w:basedOn w:val="a0"/>
    <w:link w:val="aa"/>
    <w:uiPriority w:val="99"/>
    <w:semiHidden/>
    <w:rsid w:val="00735ED2"/>
    <w:rPr>
      <w:rFonts w:ascii="Tahoma" w:hAnsi="Tahoma"/>
      <w:sz w:val="18"/>
      <w:szCs w:val="18"/>
    </w:rPr>
  </w:style>
  <w:style w:type="table" w:styleId="ab">
    <w:name w:val="Table Grid"/>
    <w:basedOn w:val="a1"/>
    <w:uiPriority w:val="59"/>
    <w:rsid w:val="00C5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dreamsummit</cp:lastModifiedBy>
  <cp:revision>24</cp:revision>
  <dcterms:created xsi:type="dcterms:W3CDTF">2008-09-11T17:20:00Z</dcterms:created>
  <dcterms:modified xsi:type="dcterms:W3CDTF">2016-04-07T05:26:00Z</dcterms:modified>
</cp:coreProperties>
</file>